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"/>
        <w:jc w:val="center"/>
        <w:rPr>
          <w:rFonts w:ascii="Times New Roman" w:hAnsi="Times New Roman" w:eastAsia="Times New Roman" w:cs="Times New Roman"/>
          <w:color w:val="00000A"/>
          <w:sz w:val="24"/>
        </w:rPr>
      </w:pPr>
      <w:r>
        <w:rPr>
          <w:rFonts w:eastAsia="Times New Roman" w:cs="Times New Roman" w:ascii="Times New Roman" w:hAnsi="Times New Roman"/>
          <w:color w:val="00000A"/>
          <w:sz w:val="24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A"/>
          <w:sz w:val="24"/>
        </w:rPr>
        <w:t>Приложение</w:t>
      </w:r>
    </w:p>
    <w:p>
      <w:pPr>
        <w:pStyle w:val="Normal"/>
        <w:spacing w:lineRule="auto" w:line="240" w:before="0" w:after="1"/>
        <w:rPr/>
      </w:pPr>
      <w:r>
        <w:rPr>
          <w:rFonts w:eastAsia="Times New Roman" w:cs="Times New Roman" w:ascii="Times New Roman" w:hAnsi="Times New Roman"/>
          <w:color w:val="00000A"/>
          <w:sz w:val="24"/>
        </w:rPr>
        <w:t xml:space="preserve">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A"/>
          <w:sz w:val="24"/>
        </w:rPr>
        <w:t xml:space="preserve">к решению Городской Думы </w:t>
      </w:r>
    </w:p>
    <w:p>
      <w:pPr>
        <w:pStyle w:val="Normal"/>
        <w:spacing w:lineRule="auto" w:line="240" w:before="0" w:after="1"/>
        <w:jc w:val="center"/>
        <w:rPr/>
      </w:pPr>
      <w:r>
        <w:rPr>
          <w:rFonts w:eastAsia="Times New Roman" w:cs="Times New Roman" w:ascii="Times New Roman" w:hAnsi="Times New Roman"/>
          <w:color w:val="00000A"/>
          <w:sz w:val="24"/>
        </w:rPr>
        <w:t xml:space="preserve">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A"/>
          <w:sz w:val="24"/>
        </w:rPr>
        <w:t>города Калуги</w:t>
      </w:r>
    </w:p>
    <w:p>
      <w:pPr>
        <w:pStyle w:val="Normal"/>
        <w:spacing w:lineRule="auto" w:line="240" w:before="0" w:after="1"/>
        <w:jc w:val="center"/>
        <w:rPr/>
      </w:pPr>
      <w:r>
        <w:rPr>
          <w:rFonts w:eastAsia="Times New Roman" w:cs="Times New Roman" w:ascii="Times New Roman" w:hAnsi="Times New Roman"/>
          <w:color w:val="00000A"/>
          <w:sz w:val="24"/>
        </w:rPr>
        <w:t xml:space="preserve">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A"/>
          <w:sz w:val="24"/>
        </w:rPr>
        <w:t>от                 №</w:t>
      </w:r>
    </w:p>
    <w:p>
      <w:pPr>
        <w:pStyle w:val="ConsPlusTitle"/>
        <w:spacing w:lineRule="auto" w:line="240"/>
        <w:jc w:val="center"/>
        <w:rPr>
          <w:b w:val="false"/>
          <w:bCs/>
          <w:sz w:val="26"/>
          <w:szCs w:val="26"/>
        </w:rPr>
      </w:pPr>
      <w:r>
        <w:rPr>
          <w:b w:val="false"/>
          <w:bCs/>
          <w:sz w:val="26"/>
          <w:szCs w:val="26"/>
        </w:rPr>
      </w:r>
    </w:p>
    <w:p>
      <w:pPr>
        <w:pStyle w:val="Normal"/>
        <w:spacing w:lineRule="auto" w:line="240" w:before="0" w:after="1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4"/>
        </w:rPr>
        <w:t>Положение</w:t>
      </w:r>
    </w:p>
    <w:p>
      <w:pPr>
        <w:pStyle w:val="Normal"/>
        <w:spacing w:lineRule="auto" w:line="240" w:before="0" w:after="1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4"/>
        </w:rPr>
        <w:t>«О муниципальном земельном контроле на территории</w:t>
      </w:r>
    </w:p>
    <w:p>
      <w:pPr>
        <w:pStyle w:val="Normal"/>
        <w:spacing w:lineRule="auto" w:line="240" w:before="0" w:after="1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4"/>
        </w:rPr>
        <w:t xml:space="preserve">муниципального образования  «Город Калуга»  </w:t>
      </w:r>
    </w:p>
    <w:p>
      <w:pPr>
        <w:pStyle w:val="ConsPlusTitle"/>
        <w:spacing w:lineRule="auto" w:line="240"/>
        <w:ind w:firstLine="709"/>
        <w:jc w:val="both"/>
        <w:rPr>
          <w:b w:val="false"/>
          <w:bCs/>
          <w:sz w:val="26"/>
          <w:szCs w:val="26"/>
        </w:rPr>
      </w:pPr>
      <w:r>
        <w:rPr>
          <w:b w:val="false"/>
          <w:bCs/>
          <w:sz w:val="26"/>
          <w:szCs w:val="26"/>
        </w:rPr>
      </w:r>
    </w:p>
    <w:p>
      <w:pPr>
        <w:pStyle w:val="ConsPlusNormal"/>
        <w:spacing w:lineRule="auto" w:lin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 Настоящее положение разработано в соответствии с 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</w:rPr>
        <w:t>Земельным кодексом Российской Федерации</w:t>
      </w:r>
      <w:bookmarkStart w:id="0" w:name="__DdeLink__6876_3871110293"/>
      <w:r>
        <w:rPr>
          <w:rFonts w:cs="Times New Roman" w:ascii="Times New Roman" w:hAnsi="Times New Roman"/>
          <w:sz w:val="24"/>
          <w:szCs w:val="24"/>
          <w:shd w:fill="FFFFFF" w:val="clear"/>
        </w:rPr>
        <w:t>, Федеральным законом от 31.07.2020 № 248-ФЗ «О государственном контроле (надзоре) и муниципальном контроле в Российской Федерации»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(далее - Федеральный закон № 248-ФЗ) и устанавливает порядок организации и осуществления муниципального земельного контроля 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на территории     муниципального образования «Город Калуга»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(далее – муниципальный земельный контроль).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 xml:space="preserve">2. Предметом муниципального земельного контроля в соответствии с частью 2 статьи 72 Земельного кодекса Российской Федерации является соблюдение юридическими лицами, индивидуальными предпринимателями, гражданами (далее 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ответственность, а также в соответствии пунктом 4 части 1 статьи 15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Федерального закона № 248-ФЗ</w:t>
      </w:r>
      <w:r>
        <w:rPr>
          <w:rFonts w:cs="Times New Roman" w:ascii="Times New Roman" w:hAnsi="Times New Roman"/>
          <w:sz w:val="24"/>
          <w:szCs w:val="24"/>
        </w:rPr>
        <w:t xml:space="preserve"> исполнение решений, принимаемых по результатам контрольных (надзорных) мероприятий.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 xml:space="preserve">3. Муниципальный земельный контроль осуществляется уполномоченным органом Городской Управы города Калуги - управлением архитектуры, градостроительства и земельных отношений города Калуги (далее </w:t>
      </w:r>
      <w:r>
        <w:rPr>
          <w:rFonts w:eastAsia="Symbol"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контрольный орган).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4. Должностными лицами, уполномоченными на осуществление муниципального земельного контроля являются: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- начальник отдела по контролю за землепользованием </w:t>
      </w:r>
      <w:r>
        <w:rPr>
          <w:rFonts w:cs="Times New Roman" w:ascii="Times New Roman" w:hAnsi="Times New Roman"/>
          <w:sz w:val="24"/>
          <w:szCs w:val="24"/>
        </w:rPr>
        <w:t>управления архитектуры, градостроительства и земельных отношений города Калуги;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 xml:space="preserve">- главный специалист </w:t>
      </w:r>
      <w:r>
        <w:rPr>
          <w:rFonts w:cs="Times New Roman" w:ascii="Times New Roman" w:hAnsi="Times New Roman"/>
          <w:bCs/>
          <w:sz w:val="24"/>
          <w:szCs w:val="24"/>
        </w:rPr>
        <w:t xml:space="preserve">отдела по контролю за землепользованием </w:t>
      </w:r>
      <w:r>
        <w:rPr>
          <w:rFonts w:cs="Times New Roman" w:ascii="Times New Roman" w:hAnsi="Times New Roman"/>
          <w:sz w:val="24"/>
          <w:szCs w:val="24"/>
        </w:rPr>
        <w:t xml:space="preserve">управления архитектуры, градостроительства и земельных отношений города Калуги.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5. </w:t>
      </w:r>
      <w:r>
        <w:rPr>
          <w:rFonts w:cs="Times New Roman" w:ascii="Times New Roman" w:hAnsi="Times New Roman"/>
          <w:bCs/>
          <w:sz w:val="24"/>
          <w:szCs w:val="24"/>
          <w:lang w:eastAsia="zh-CN"/>
        </w:rPr>
        <w:t xml:space="preserve">Должностным лицом </w:t>
      </w:r>
      <w:r>
        <w:rPr>
          <w:rFonts w:cs="Times New Roman" w:ascii="Times New Roman" w:hAnsi="Times New Roman"/>
          <w:sz w:val="24"/>
          <w:szCs w:val="24"/>
        </w:rPr>
        <w:t>контрольного органа</w:t>
      </w:r>
      <w:r>
        <w:rPr>
          <w:rFonts w:cs="Times New Roman" w:ascii="Times New Roman" w:hAnsi="Times New Roman"/>
          <w:bCs/>
          <w:sz w:val="24"/>
          <w:szCs w:val="24"/>
          <w:lang w:eastAsia="zh-CN"/>
        </w:rPr>
        <w:t xml:space="preserve">, уполномоченным на принятие решения о проведении контрольных мероприятий, является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заместитель Городского Головы -</w:t>
      </w:r>
      <w:r>
        <w:rPr>
          <w:rFonts w:cs="Times New Roman" w:ascii="Times New Roman" w:hAnsi="Times New Roman"/>
          <w:sz w:val="24"/>
          <w:szCs w:val="24"/>
        </w:rPr>
        <w:t xml:space="preserve"> начальник управления архитектуры, градостроительства и земельных отношений города Калуги, </w:t>
      </w:r>
      <w:r>
        <w:rPr>
          <w:rFonts w:cs="Times New Roman" w:ascii="Times New Roman" w:hAnsi="Times New Roman"/>
          <w:sz w:val="24"/>
          <w:szCs w:val="24"/>
          <w:lang w:eastAsia="zh-CN"/>
        </w:rPr>
        <w:t xml:space="preserve">а в случае его отсутствия </w:t>
      </w:r>
      <w:r>
        <w:rPr>
          <w:rFonts w:eastAsia="Symbol" w:cs="Times New Roman" w:ascii="Times New Roman" w:hAnsi="Times New Roman"/>
          <w:sz w:val="24"/>
          <w:szCs w:val="24"/>
          <w:lang w:eastAsia="zh-CN"/>
        </w:rPr>
        <w:t>-</w:t>
      </w:r>
      <w:r>
        <w:rPr>
          <w:rFonts w:cs="Times New Roman" w:ascii="Times New Roman" w:hAnsi="Times New Roman"/>
          <w:sz w:val="24"/>
          <w:szCs w:val="24"/>
          <w:lang w:eastAsia="zh-CN"/>
        </w:rPr>
        <w:t xml:space="preserve"> лицо, исполняющее его обязанности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6. Должностные лица, уполномоченные на осуществление муниципального земельного контроля, пользуются правами, соблюдают ограничения и выполняют обязанности, установленные Федеральным законом № 248-ФЗ.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pacing w:val="-2"/>
          <w:sz w:val="24"/>
          <w:szCs w:val="24"/>
        </w:rPr>
        <w:t>. Объектами муниципального земельного контроля являются: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> </w:t>
      </w:r>
      <w:r>
        <w:rPr>
          <w:rFonts w:cs="Times New Roman" w:ascii="Times New Roman" w:hAnsi="Times New Roman"/>
          <w:spacing w:val="-2"/>
          <w:sz w:val="24"/>
          <w:szCs w:val="24"/>
        </w:rPr>
        <w:t>- деятельность, действия (бездействие) граждан и организаций, в рамках которых должны соблюдаться обязательные требования к использованию и охране земель, в том числе предъявляемые к гражданам и организациям, осуществляющим деятельность, действия (бездействие);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709" w:gutter="0" w:header="1134" w:top="1661" w:footer="851" w:bottom="1378"/>
          <w:pgNumType w:fmt="decimal"/>
          <w:formProt w:val="false"/>
          <w:textDirection w:val="lrTb"/>
          <w:docGrid w:type="default" w:linePitch="272" w:charSpace="18022"/>
        </w:sect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> 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>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  <w:shd w:fill="FFFFFF" w:val="clear"/>
        </w:rPr>
        <w:t>8. 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Контрольный орган </w:t>
      </w:r>
      <w:r>
        <w:rPr>
          <w:rFonts w:cs="Times New Roman" w:ascii="Times New Roman" w:hAnsi="Times New Roman"/>
          <w:spacing w:val="-2"/>
          <w:sz w:val="24"/>
          <w:szCs w:val="24"/>
          <w:shd w:fill="FFFFFF" w:val="clear"/>
        </w:rPr>
        <w:t>в соответствии с частями 2 и 3 статьи 16 Федерального закона № 248-ФЗ в рамках осуществления муниципального земельного контроля обеспечивает учет объектов контроля.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 xml:space="preserve">9. Муниципальный земельный контроль осуществляется на основе управления рисками причинения вреда (ущерба).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  <w:shd w:fill="FFFFFF" w:val="clear"/>
        </w:rPr>
        <w:t>10. Оценка риска причинения вреда (ущерба) при принятии контрольным органом решения о проведении и выборе вида внепланового контрольного мероприятия в соответствии с частями 9 и 10 статьи 23 Федерального закона № 248-ФЗ осуществляется с учетом индикаторов риска нарушения обязательных требований, перечень которых установлен приложением № 1 к настоящему положению.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  <w:shd w:fill="FFFFFF" w:val="clear"/>
        </w:rPr>
        <w:t xml:space="preserve">11. В соответствии с частью 5 статьи 25 Федерального закона № 248-ФЗ в рамках осуществления муниципального земельного контроля плановые контрольные мероприятия и обязательные профилактические визиты, предусмотренные частью 2 указанной статьи, не проводятся. </w:t>
      </w:r>
      <w:r>
        <w:rPr>
          <w:rFonts w:cs="Times New Roman" w:ascii="Times New Roman" w:hAnsi="Times New Roman"/>
          <w:spacing w:val="-2"/>
          <w:sz w:val="24"/>
          <w:szCs w:val="24"/>
        </w:rPr>
        <w:t>О</w:t>
      </w:r>
      <w:r>
        <w:rPr>
          <w:rFonts w:cs="Times New Roman" w:ascii="Times New Roman" w:hAnsi="Times New Roman"/>
          <w:spacing w:val="-2"/>
          <w:sz w:val="24"/>
          <w:szCs w:val="24"/>
          <w:shd w:fill="FFFFFF" w:val="clear"/>
        </w:rPr>
        <w:t>тнесение объектов контроля к категориям риска не осуществляется, критерии риска не устанавливаются.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  <w:shd w:fill="FFFFFF" w:val="clear"/>
        </w:rPr>
        <w:t xml:space="preserve">12. В рамках осуществления муниципального земельного контроля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контрольный орган </w:t>
      </w:r>
      <w:r>
        <w:rPr>
          <w:rFonts w:cs="Times New Roman" w:ascii="Times New Roman" w:hAnsi="Times New Roman"/>
          <w:spacing w:val="-2"/>
          <w:sz w:val="24"/>
          <w:szCs w:val="24"/>
          <w:shd w:fill="FFFFFF" w:val="clear"/>
        </w:rPr>
        <w:t>проводит следующие профилактические мероприятия: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>а) информирование;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>б) объявление предостережения;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>б) консультирование;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>г) профилактический визит.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>13. Информирование осуществляется посредством размещения сведений, предусмотренных частью 3 статьи 46 Федерального закона № 248-ФЗ, на странице контрольного органа в информационно-телекоммуникационной сети Интернет,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pacing w:val="-2"/>
          <w:sz w:val="24"/>
          <w:szCs w:val="24"/>
        </w:rPr>
        <w:t>14. При наличии сведений, предусмотренных частью 1 статьи 49 Федерального закона № 248-ФЗ, контрольный орган в соответствии со статьей 49 Федерального закона № 248-ФЗ объявляет контролируемому лицу предостережение о недопустимости нарушения обязательных требований (далее</w:t>
      </w:r>
      <w:r>
        <w:rPr>
          <w:spacing w:val="-2"/>
        </w:rPr>
        <w:t xml:space="preserve"> - </w:t>
      </w:r>
      <w:r>
        <w:rPr>
          <w:rFonts w:cs="Times New Roman" w:ascii="Times New Roman" w:hAnsi="Times New Roman"/>
          <w:spacing w:val="-2"/>
          <w:sz w:val="24"/>
          <w:szCs w:val="24"/>
        </w:rPr>
        <w:t>предостережение) и предлагает принять меры по обеспечению соблюдения обязательных требований.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Контролируемое лицо в течение 10 дней со дня получения предостережения вправе подать в контрольный орган возражение в отношении предостережения, в том числе через федеральную государственную информационную систему «Единый портал государственных и муниципальных услуг» (далее соответственно – возражение и портал Госуслуг).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 возражении указываются:</w:t>
      </w:r>
      <w:bookmarkStart w:id="3" w:name="_GoBack"/>
      <w:bookmarkEnd w:id="3"/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а) фамилия, имя и отчество (при наличии), сведения о месте жительства физического лица либо наименование, сведения о месте нахождения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б) сведения о предостережении и должностном лице, направившем предостережение;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в) доводы, на основании которых контролируемое лицо не согласно с предостережением </w:t>
      </w:r>
      <w:r>
        <w:rPr>
          <w:rFonts w:cs="Times New Roman" w:ascii="Times New Roman" w:hAnsi="Times New Roman"/>
          <w:sz w:val="24"/>
          <w:szCs w:val="24"/>
        </w:rPr>
        <w:t>(с приложением подтверждающих указанные доводы сведений и (или) документов)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Возражение рассматривается должностными лицами контрольного органа в течение 20 рабочих дней со дня получения такого возражения. По результатам рассмотрения возражения контрольный орган принимает решение об удовлетворении возражения и отмене предостережения либо об отказе в удовлетворении возражения с указанием причины отказа. П</w:t>
      </w:r>
      <w:r>
        <w:rPr>
          <w:rFonts w:cs="Times New Roman" w:ascii="Times New Roman" w:hAnsi="Times New Roman"/>
          <w:color w:val="333333"/>
          <w:sz w:val="24"/>
          <w:szCs w:val="24"/>
          <w:shd w:fill="FFFFFF" w:val="clear"/>
        </w:rPr>
        <w:t>о итогам рассмотрения возражения в отношении предостережения о недопустимости нарушения обязательных требований</w:t>
      </w:r>
      <w:r>
        <w:rPr>
          <w:rFonts w:cs="Times New Roman" w:ascii="Times New Roman" w:hAnsi="Times New Roman"/>
          <w:sz w:val="24"/>
          <w:szCs w:val="24"/>
        </w:rPr>
        <w:t xml:space="preserve"> контрольный орган</w:t>
      </w:r>
      <w:r>
        <w:rPr>
          <w:rFonts w:cs="Times New Roman" w:ascii="Times New Roman" w:hAnsi="Times New Roman"/>
          <w:color w:val="333333"/>
          <w:sz w:val="24"/>
          <w:szCs w:val="24"/>
          <w:shd w:fill="FFFFFF" w:val="clear"/>
        </w:rPr>
        <w:t xml:space="preserve"> направляет ответ контролируемому лицу </w:t>
      </w:r>
      <w:r>
        <w:rPr>
          <w:rStyle w:val="Strong"/>
          <w:rFonts w:cs="Times New Roman" w:ascii="Times New Roman" w:hAnsi="Times New Roman"/>
          <w:b w:val="false"/>
          <w:color w:val="333333"/>
          <w:sz w:val="24"/>
          <w:szCs w:val="24"/>
          <w:shd w:fill="FFFFFF" w:val="clear"/>
        </w:rPr>
        <w:t>в течение 20 рабочих дней</w:t>
      </w:r>
      <w:r>
        <w:rPr>
          <w:rFonts w:cs="Times New Roman" w:ascii="Times New Roman" w:hAnsi="Times New Roman"/>
          <w:color w:val="333333"/>
          <w:sz w:val="24"/>
          <w:szCs w:val="24"/>
          <w:shd w:fill="FFFFFF" w:val="clear"/>
        </w:rPr>
        <w:t> со дня получения возражения.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15.</w:t>
      </w:r>
      <w:r>
        <w:rPr>
          <w:rFonts w:cs="Times New Roman" w:ascii="Times New Roman" w:hAnsi="Times New Roman"/>
          <w:color w:val="C9211E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Должностное лицо контрольного органа</w:t>
      </w:r>
      <w:r>
        <w:rPr>
          <w:rFonts w:cs="Times New Roman" w:ascii="Times New Roman" w:hAnsi="Times New Roman"/>
          <w:b/>
          <w:i/>
          <w:color w:val="C9211E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</w:t>
      </w:r>
      <w:r>
        <w:rPr>
          <w:rFonts w:cs="Times New Roman" w:ascii="Times New Roman" w:hAnsi="Times New Roman"/>
          <w:spacing w:val="-2"/>
          <w:sz w:val="24"/>
          <w:szCs w:val="24"/>
        </w:rPr>
        <w:t>земельного контроля) в соответствии со статьей 50 Федерального закона № 248-ФЗ.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Консультирование по телефону, а также на личном приеме осуществляется в соответствии с графиком консультирования, утверждаемым заместителем Городского Головы – начальником управления архитектуры, градостроительства и земельных отношений города Калуги</w:t>
      </w:r>
      <w:r>
        <w:rPr>
          <w:rFonts w:cs="Times New Roman" w:ascii="Times New Roman" w:hAnsi="Times New Roman"/>
          <w:b/>
          <w:i/>
          <w:color w:val="C9211E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или его заместителем. График консультирования размещается на официальном сайте Городской Управы города Калуги  в информационно-телекоммуникационной сети Интернет.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Дата и время консультирования, осуществляемого посредством видео-конференц-связи, определяется должностным лицом отдела по контролю за землепользованием  по согласованию с контролируемым лицом.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61" w:after="161"/>
        <w:ind w:firstLine="709" w:left="0"/>
        <w:contextualSpacing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Запись на консультирование может производиться в том числе через портал Госуслуг.</w:t>
      </w:r>
    </w:p>
    <w:p>
      <w:pPr>
        <w:pStyle w:val="Normal"/>
        <w:suppressAutoHyphens w:val="false"/>
        <w:spacing w:lineRule="auto" w:line="240"/>
        <w:ind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Должностные лица, осуществляющие консультирование, дают устный ответ по        существу каждого поставленного вопроса.</w:t>
      </w:r>
    </w:p>
    <w:p>
      <w:pPr>
        <w:pStyle w:val="Normal"/>
        <w:suppressAutoHyphens w:val="false"/>
        <w:spacing w:lineRule="auto" w:line="24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Консультирование осуществляется по следующим вопросам: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а) организация и осуществление муниципального земельного контроля;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б) порядок осуществления профилактических, контрольных мероприятий, установленных настоящим положением;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контроля;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г) порядок обжалования решений контрольного органа, действий (бездействия) его должностных лиц;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порядок подачи возражений на предостережение о недопустимости нарушений обязательных требований.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По итогам консультирования информация в письменной форме не представляется, за исключением случаев направления контролируемым лицом соответствующего обращения в порядке, установленном Федеральным </w:t>
      </w:r>
      <w:hyperlink r:id="rId4">
        <w:r>
          <w:rPr>
            <w:rFonts w:eastAsia="Calibri" w:ascii="Times New Roman" w:hAnsi="Times New Roman" w:eastAsiaTheme="minorHAnsi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02.05.2006  №  59-ФЗ</w:t>
        <w:br/>
        <w:t>«О порядке рассмотрения обращений граждан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случае поступления пяти и более однотипных обращений от контролируемых лиц (их представителей) консультирование осуществляется посредством размещения письменного разъяснения, подписанного заместителем Городского Головы – начальником управления архитектуры, градостроительства и земельных отношений города Калуги или его заместителем,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на официальном сайте Городской Управы города Калуги  в информационно-телекоммуникационной сети Интернет. </w:t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/>
      </w:pPr>
      <w:r>
        <w:rPr>
          <w:lang w:eastAsia="zh-CN"/>
        </w:rPr>
        <w:t>16. Профилактический визит в рамках муниципального земельного контроля проводится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статьями 52 и 52.2 Федерального закона № 248-ФЗ.</w:t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/>
      </w:pPr>
      <w:r>
        <w:rPr>
          <w:spacing w:val="-2"/>
          <w:lang w:eastAsia="zh-CN"/>
        </w:rPr>
        <w:t>Заявление о проведении профилактического визита подается через портал Госуслуг</w:t>
      </w:r>
      <w:r>
        <w:rPr>
          <w:lang w:eastAsia="zh-CN"/>
        </w:rPr>
        <w:t>.</w:t>
      </w:r>
    </w:p>
    <w:p>
      <w:pPr>
        <w:pStyle w:val="NormalWeb"/>
        <w:spacing w:lineRule="auto" w:line="240" w:beforeAutospacing="0" w:before="0" w:afterAutospacing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FFFFFF" w:val="clear"/>
        </w:rPr>
        <w:t>17. Муниципальный земельный контроль осуществляется посредством проведения внеплановых контрольных мероприятий, предусматривающих взаимодействие с контролируемым лицом, по основаниям, предусмотренным пунктами 1, 4, 5, 7 части 1 статьи 57    Федерального закона № 248-ФЗ, а также контрольных мероприятий без взаимодействия с контролируемым лицом, проводимых в соответствии с требованиями Федерального закона № 248-ФЗ.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18. При проведении контрольных мероприятий в рамках осуществления муниципального земельного контроля должностным лицом контрольного органа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 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pacing w:val="-2"/>
          <w:sz w:val="24"/>
          <w:szCs w:val="24"/>
          <w:lang w:eastAsia="ru-RU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При   осуществлении аудио- и видеозаписи  в начале и конце  записи должностным  лицом делается уведомление о дате, месте, времени начала и окончания осуществления записи.</w:t>
      </w:r>
    </w:p>
    <w:p>
      <w:pPr>
        <w:pStyle w:val="Normal"/>
        <w:suppressAutoHyphens w:val="false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FFFFFF" w:val="clear"/>
        </w:rPr>
        <w:t xml:space="preserve">19. Взаимодействие  с  контролируемым  лицом осуществляется  при   проведении следующих контрольных мероприятий: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>а) инспекционный визит;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>б) документарная проверка;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>в) выездная проверка.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pacing w:val="-2"/>
          <w:sz w:val="24"/>
          <w:szCs w:val="24"/>
        </w:rPr>
        <w:t>Содержание внеплановых контрольных (надзорных) мероприятий определяется пунктами 22</w:t>
      </w:r>
      <w:r>
        <w:rPr>
          <w:rFonts w:eastAsia="Symbol" w:ascii="Times New Roman" w:hAnsi="Times New Roman"/>
          <w:color w:val="auto"/>
          <w:spacing w:val="-2"/>
          <w:sz w:val="24"/>
          <w:szCs w:val="24"/>
        </w:rPr>
        <w:t>-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24 настоящего положения.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shd w:fill="FFFFFF" w:val="clear"/>
        </w:rPr>
        <w:t>20. В соответствии с частью 5 статьи 56 Федерального закона № 248-ФЗ инспекционный визит и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shd w:fill="FFFFFF" w:val="clear"/>
        </w:rPr>
        <w:t xml:space="preserve">21. Информация о невозможности присутствия при проведении контрольного мероприятия может быть представлена в контрольный орган индивидуальным предпринимателем, гражданином, являющимися контролируемыми лицами, в случаях болезни, прохождения медицинского обследования, смерти близкого родственника, нахождения за пределами Калужской области, участия в судебном заседании, в связи с чем </w:t>
      </w:r>
      <w:r>
        <w:rPr>
          <w:rFonts w:ascii="Times New Roman" w:hAnsi="Times New Roman"/>
          <w:color w:val="auto"/>
          <w:spacing w:val="-2"/>
          <w:sz w:val="24"/>
          <w:szCs w:val="24"/>
          <w:lang w:eastAsia="ru-RU"/>
        </w:rPr>
        <w:t xml:space="preserve">проведение контрольного мероприятия переносится на срок, необходимый для устранения обстоятельств, послуживших поводом для обращения индивидуального предпринимателя, гражданина в </w:t>
      </w: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>контрольный орган</w:t>
      </w:r>
      <w:r>
        <w:rPr>
          <w:rFonts w:ascii="Times New Roman" w:hAnsi="Times New Roman"/>
          <w:color w:val="auto"/>
          <w:spacing w:val="-2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>22. Инспекционный визит проводится в порядке, установленном статьей 70 Федерального закона № 248-ФЗ.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 xml:space="preserve">В ходе инспекционного визита должностными лицами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контрольного органа </w:t>
      </w: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>могут совершаться следующие контрольные действия: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>а) осмотр;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>б) опрос;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>в) получение письменных объяснений;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color w:val="000000"/>
          <w:spacing w:val="-2"/>
          <w:sz w:val="24"/>
          <w:szCs w:val="24"/>
          <w:shd w:fill="FFFFFF" w:val="clear"/>
          <w:lang w:bidi="hi-IN"/>
        </w:rPr>
        <w:t>г)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ascii="Times New Roman" w:hAnsi="Times New Roman"/>
          <w:color w:val="000000"/>
          <w:sz w:val="24"/>
          <w:szCs w:val="24"/>
          <w:shd w:fill="FFFFFF" w:val="clear"/>
          <w:lang w:bidi="hi-IN"/>
        </w:rPr>
        <w:t>23. Документарная проверка проводится в порядке, установленном статьей 72 Федерального закона № 248-ФЗ.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ходе документарной проверки должностными лицами </w:t>
      </w: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 xml:space="preserve">контрольного органа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могут совершаться следующие контрольные (надзорные) действия: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получение письменных объяснений;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истребование документов.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 для рассмотрения  в  ходе  документарной проверки документы. В  течение 10 рабочих дней со дня получения данного требования контролируемое лицо обязано направить в контрольный (надзорный) орган указанные в требовании документы.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24. Выездная   проверка    проводится   в  порядке,  установленном   статьей    73   Федерального закона № 248-ФЗ, в целях оценки соблюдения контролируемым лицом обязательных требований, а также оценки выполнения решений </w:t>
      </w: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>контрольного органа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ходе выездной проверки должностными лицами </w:t>
      </w: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 xml:space="preserve">контрольного органа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могут совершаться следующие контрольные действия: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а) осмотр;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б) опрос;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в) получение письменных объяснений;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г) истребование документов.</w:t>
      </w:r>
    </w:p>
    <w:p>
      <w:pPr>
        <w:pStyle w:val="Normal"/>
        <w:suppressAutoHyphens w:val="fals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проведения выездной проверки не может превышать 10 рабочих дней.  В       отношении одного субъекта малого предпринимательства общий срок взаимодействия в 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      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                        представительству, обособленному структурному подразделению организации или      производственному объекту.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25. Без взаимодействия с контролируемым лицом проводятся следующие контрольные мероприятия (далее </w:t>
      </w:r>
      <w:r>
        <w:rPr>
          <w:rFonts w:eastAsia="Symbol"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контрольные мероприятия без взаимодействия):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а) наблюдение за соблюдением обязательных требований (мониторинг безопасности);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б) выездное обследование.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Содержание контрольных мероприятий без взаимодействия определяется                      статьями 74, 75</w:t>
      </w: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 xml:space="preserve"> Федерального закона № 248-ФЗ.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lang w:eastAsia="ru-RU"/>
        </w:rPr>
        <w:t xml:space="preserve">26. </w:t>
      </w:r>
      <w:r>
        <w:rPr>
          <w:spacing w:val="-2"/>
          <w:lang w:eastAsia="ru-RU"/>
        </w:rPr>
        <w:t xml:space="preserve">Контрольные мероприятия без взаимодействия проводятся на основании  задания </w:t>
      </w:r>
      <w:r>
        <w:rPr>
          <w:bCs/>
          <w:color w:val="auto"/>
          <w:spacing w:val="-2"/>
        </w:rPr>
        <w:t xml:space="preserve"> заместителя </w:t>
      </w:r>
      <w:r>
        <w:rPr>
          <w:spacing w:val="-2"/>
          <w:lang w:eastAsia="ru-RU"/>
        </w:rPr>
        <w:t>Городского Головы -</w:t>
      </w:r>
      <w:r>
        <w:rPr>
          <w:color w:val="auto"/>
        </w:rPr>
        <w:t xml:space="preserve"> </w:t>
      </w:r>
      <w:r>
        <w:rPr>
          <w:spacing w:val="-2"/>
          <w:lang w:eastAsia="ru-RU"/>
        </w:rPr>
        <w:t>начальника</w:t>
      </w:r>
      <w:r>
        <w:rPr>
          <w:color w:val="auto"/>
        </w:rPr>
        <w:t xml:space="preserve"> управления архитектуры, градостроительства и земельных отношений города Калуги</w:t>
      </w:r>
      <w:r>
        <w:rPr>
          <w:spacing w:val="-2"/>
          <w:lang w:eastAsia="ru-RU"/>
        </w:rPr>
        <w:t xml:space="preserve"> </w:t>
      </w:r>
      <w:r>
        <w:rPr>
          <w:spacing w:val="-2"/>
        </w:rPr>
        <w:t xml:space="preserve">или в случаях, установленных </w:t>
      </w:r>
      <w:r>
        <w:rPr>
          <w:spacing w:val="-2"/>
          <w:shd w:fill="FFFFFF" w:val="clear"/>
        </w:rPr>
        <w:t>Федеральным законом № 248-ФЗ.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>27. 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Результаты контрольного мероприятия оформляются в порядке, установленном статьей 87 Федерального закона № 248-ФЗ.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>28. </w:t>
      </w:r>
      <w:r>
        <w:rPr>
          <w:rFonts w:eastAsia="Calibri" w:cs="Times New Roman" w:ascii="Times New Roman" w:hAnsi="Times New Roman"/>
          <w:sz w:val="24"/>
          <w:szCs w:val="24"/>
        </w:rPr>
        <w:t>В соответствии с частью 4 статьи 72 Земельного кодекса Российской Федерации, в</w:t>
      </w:r>
      <w:r>
        <w:rPr>
          <w:rFonts w:cs="Times New Roman" w:ascii="Times New Roman" w:hAnsi="Times New Roman"/>
          <w:sz w:val="24"/>
          <w:szCs w:val="24"/>
        </w:rPr>
        <w:t xml:space="preserve">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орган муниципального земельного контроля может выдавать предписание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требований, </w:t>
      </w: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 xml:space="preserve"> в порядке, предусмотренном пунктом 1 части 2 статьи 90 Федерального закона № 248-ФЗ.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>29. 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Оценка результативности и эффективности деятельности </w:t>
      </w: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 xml:space="preserve">контрольного органа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осуществляется в соответствии со статьей 30 Федерального закона № 248-ФЗ.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систему показателей результативности и эффективности деятельности </w:t>
      </w:r>
      <w:r>
        <w:rPr>
          <w:rFonts w:eastAsia="SimSun" w:cs="Times New Roman" w:ascii="Times New Roman" w:hAnsi="Times New Roman"/>
          <w:sz w:val="24"/>
          <w:szCs w:val="24"/>
          <w:shd w:fill="FFFFFF" w:val="clear"/>
          <w:lang w:bidi="hi-IN"/>
        </w:rPr>
        <w:t xml:space="preserve">контрольного органа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входят ключевые показатели муниципального контроля и их целевые значения, установленные приложением № 2 к настоящему положению, а также индикативные показатели для муниципального контроля, установленные приложением № 3 к настоящему положению.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30. Решения и действия (бездействие) должностных лиц </w:t>
      </w:r>
      <w:r>
        <w:rPr>
          <w:rFonts w:eastAsia="SimSun" w:ascii="Times New Roman" w:hAnsi="Times New Roman"/>
          <w:color w:val="000000"/>
          <w:sz w:val="24"/>
          <w:szCs w:val="24"/>
          <w:shd w:fill="FFFFFF" w:val="clear"/>
          <w:lang w:bidi="hi-IN"/>
        </w:rPr>
        <w:t xml:space="preserve">контрольного органа </w:t>
      </w:r>
      <w:r>
        <w:rPr>
          <w:rFonts w:ascii="Times New Roman" w:hAnsi="Times New Roman"/>
          <w:color w:val="auto"/>
          <w:sz w:val="24"/>
          <w:szCs w:val="24"/>
        </w:rPr>
        <w:t>могут быть обжалованы в порядке, установленном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Досудебный порядок подачи жалоб, установленный главой 9 Федерального закона № 248-ФЗ, при осуществлении муниципального земельного контроля не применяется.</w:t>
      </w:r>
    </w:p>
    <w:p>
      <w:pPr>
        <w:pStyle w:val="Normal"/>
        <w:spacing w:lineRule="auto" w:line="264" w:before="0" w:after="0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  <w:r>
        <w:br w:type="page"/>
      </w:r>
    </w:p>
    <w:p>
      <w:pPr>
        <w:pStyle w:val="Normal"/>
        <w:spacing w:lineRule="auto" w:line="264" w:before="0" w:after="0"/>
        <w:ind w:firstLine="709"/>
        <w:jc w:val="center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                                                      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701" w:right="709" w:gutter="0" w:header="709" w:top="1134" w:footer="0" w:bottom="851"/>
      <w:pgNumType w:fmt="decimal"/>
      <w:formProt w:val="false"/>
      <w:textDirection w:val="lrTb"/>
      <w:docGrid w:type="default" w:linePitch="272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  <w:bookmarkStart w:id="1" w:name="PageNumWizard_HEADER_Первая_страница1"/>
    <w:bookmarkStart w:id="2" w:name="PageNumWizard_HEADER_Первая_страница1"/>
    <w:bookmarkEnd w:id="2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fldChar w:fldCharType="begin"/>
    </w:r>
    <w:r>
      <w:rPr>
        <w:sz w:val="24"/>
        <w:rFonts w:ascii="Times New Roman" w:hAnsi="Times New Roman"/>
      </w:rPr>
    </w:r>
    <w:r>
      <w:rPr>
        <w:rFonts w:ascii="Times New Roman" w:hAnsi="Times New Roman"/>
        <w:sz w:val="24"/>
      </w:rPr>
    </w:r>
    <w:r>
      <w:rPr>
        <w:sz w:val="24"/>
        <w:rFonts w:ascii="Times New Roman" w:hAnsi="Times New Roman"/>
      </w:rPr>
      <w:fldChar w:fldCharType="separate"/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  <w:r>
      <w:rPr>
        <w:sz w:val="24"/>
        <w:rFonts w:ascii="Times New Roman" w:hAnsi="Times New Roman"/>
      </w:rPr>
      <w:fldChar w:fldCharType="end"/>
    </w:r>
    <w:sdt>
      <w:sdtPr>
        <w:id w:val="1467737580"/>
      </w:sdtPr>
      <w:sdtContent>
        <w:r>
          <w:rPr>
            <w:rFonts w:ascii="Times New Roman" w:hAnsi="Times New Roman"/>
            <w:sz w:val="24"/>
          </w:rPr>
        </w:r>
        <w:r>
          <w:rPr/>
          <w:t xml:space="preserve"> </w:t>
        </w:r>
      </w:sdtContent>
    </w:sdt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footnote reference" w:uiPriority="0"/>
    <w:lsdException w:name="endnote tex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109a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Heading1" w:customStyle="1">
    <w:name w:val="Heading 1"/>
    <w:link w:val="1"/>
    <w:uiPriority w:val="9"/>
    <w:qFormat/>
    <w:rsid w:val="000e7bbf"/>
    <w:pPr>
      <w:widowControl/>
      <w:suppressAutoHyphens w:val="true"/>
      <w:bidi w:val="0"/>
      <w:spacing w:before="120" w:after="120"/>
      <w:jc w:val="left"/>
      <w:outlineLvl w:val="0"/>
    </w:pPr>
    <w:rPr>
      <w:rFonts w:ascii="XO Thames" w:hAnsi="XO Thames" w:eastAsia="Calibri" w:cs="" w:cstheme="minorBidi" w:eastAsiaTheme="minorHAnsi"/>
      <w:b/>
      <w:color w:val="auto"/>
      <w:kern w:val="0"/>
      <w:sz w:val="32"/>
      <w:szCs w:val="22"/>
      <w:lang w:val="ru-RU" w:eastAsia="en-US" w:bidi="ar-SA"/>
    </w:rPr>
  </w:style>
  <w:style w:type="paragraph" w:styleId="Heading2" w:customStyle="1">
    <w:name w:val="Heading 2"/>
    <w:uiPriority w:val="9"/>
    <w:qFormat/>
    <w:rsid w:val="000e7bbf"/>
    <w:pPr>
      <w:widowControl/>
      <w:suppressAutoHyphens w:val="true"/>
      <w:bidi w:val="0"/>
      <w:spacing w:before="120" w:after="120"/>
      <w:jc w:val="left"/>
      <w:outlineLvl w:val="1"/>
    </w:pPr>
    <w:rPr>
      <w:rFonts w:ascii="XO Thames" w:hAnsi="XO Thames" w:eastAsia="Calibri" w:cs=""/>
      <w:b/>
      <w:color w:val="00A0FF"/>
      <w:kern w:val="0"/>
      <w:sz w:val="26"/>
      <w:szCs w:val="22"/>
      <w:lang w:val="ru-RU" w:eastAsia="en-US" w:bidi="ar-SA"/>
    </w:rPr>
  </w:style>
  <w:style w:type="paragraph" w:styleId="Heading3" w:customStyle="1">
    <w:name w:val="Heading 3"/>
    <w:uiPriority w:val="9"/>
    <w:qFormat/>
    <w:rsid w:val="000e7bbf"/>
    <w:pPr>
      <w:widowControl/>
      <w:suppressAutoHyphens w:val="true"/>
      <w:bidi w:val="0"/>
      <w:spacing w:before="240" w:after="0"/>
      <w:jc w:val="left"/>
      <w:outlineLvl w:val="2"/>
    </w:pPr>
    <w:rPr>
      <w:rFonts w:ascii="XO Thames" w:hAnsi="XO Thames" w:eastAsia="Calibri" w:cs="" w:cstheme="minorBidi" w:eastAsiaTheme="minorHAnsi"/>
      <w:b/>
      <w:i/>
      <w:color w:val="auto"/>
      <w:kern w:val="0"/>
      <w:sz w:val="20"/>
      <w:szCs w:val="22"/>
      <w:lang w:val="ru-RU" w:eastAsia="en-US" w:bidi="ar-SA"/>
    </w:rPr>
  </w:style>
  <w:style w:type="paragraph" w:styleId="Heading4" w:customStyle="1">
    <w:name w:val="Heading 4"/>
    <w:uiPriority w:val="9"/>
    <w:qFormat/>
    <w:rsid w:val="000e7bbf"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Calibri" w:cs=""/>
      <w:b/>
      <w:color w:val="595959"/>
      <w:kern w:val="0"/>
      <w:sz w:val="26"/>
      <w:szCs w:val="22"/>
      <w:lang w:val="ru-RU" w:eastAsia="en-US" w:bidi="ar-SA"/>
    </w:rPr>
  </w:style>
  <w:style w:type="paragraph" w:styleId="Heading5" w:customStyle="1">
    <w:name w:val="Heading 5"/>
    <w:uiPriority w:val="9"/>
    <w:qFormat/>
    <w:rsid w:val="000e7bbf"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Calibri" w:cs="" w:cstheme="minorBidi" w:eastAsiaTheme="minorHAnsi"/>
      <w:b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e7bbf"/>
    <w:rPr>
      <w:rFonts w:ascii="XO Thames" w:hAnsi="XO Thames" w:eastAsia="Times New Roman" w:cs="Times New Roman"/>
      <w:b/>
      <w:sz w:val="32"/>
      <w:szCs w:val="20"/>
    </w:rPr>
  </w:style>
  <w:style w:type="character" w:styleId="21" w:customStyle="1">
    <w:name w:val="Оглавление 2 Знак1"/>
    <w:basedOn w:val="DefaultParagraphFont"/>
    <w:uiPriority w:val="9"/>
    <w:qFormat/>
    <w:rsid w:val="000e7bbf"/>
    <w:rPr>
      <w:rFonts w:ascii="XO Thames" w:hAnsi="XO Thames" w:eastAsia="Times New Roman" w:cs="Times New Roman"/>
      <w:b/>
      <w:color w:val="00A0FF"/>
      <w:sz w:val="26"/>
      <w:szCs w:val="20"/>
    </w:rPr>
  </w:style>
  <w:style w:type="character" w:styleId="3" w:customStyle="1">
    <w:name w:val="Заголовок 3 Знак"/>
    <w:basedOn w:val="DefaultParagraphFont"/>
    <w:uiPriority w:val="9"/>
    <w:qFormat/>
    <w:rsid w:val="000e7bbf"/>
    <w:rPr>
      <w:rFonts w:ascii="XO Thames" w:hAnsi="XO Thames" w:eastAsia="Times New Roman" w:cs="Times New Roman"/>
      <w:b/>
      <w:i/>
      <w:color w:val="000000"/>
      <w:sz w:val="20"/>
      <w:szCs w:val="20"/>
    </w:rPr>
  </w:style>
  <w:style w:type="character" w:styleId="41" w:customStyle="1">
    <w:name w:val="Оглавление 4 Знак1"/>
    <w:basedOn w:val="DefaultParagraphFont"/>
    <w:uiPriority w:val="9"/>
    <w:qFormat/>
    <w:rsid w:val="000e7bbf"/>
    <w:rPr>
      <w:rFonts w:ascii="XO Thames" w:hAnsi="XO Thames" w:eastAsia="Times New Roman" w:cs="Times New Roman"/>
      <w:b/>
      <w:color w:val="595959"/>
      <w:sz w:val="26"/>
      <w:szCs w:val="20"/>
    </w:rPr>
  </w:style>
  <w:style w:type="character" w:styleId="51" w:customStyle="1">
    <w:name w:val="Оглавление 5 Знак1"/>
    <w:basedOn w:val="DefaultParagraphFont"/>
    <w:uiPriority w:val="9"/>
    <w:qFormat/>
    <w:rsid w:val="000e7bbf"/>
    <w:rPr>
      <w:rFonts w:ascii="XO Thames" w:hAnsi="XO Thames" w:eastAsia="Times New Roman" w:cs="Times New Roman"/>
      <w:b/>
      <w:color w:val="000000"/>
      <w:szCs w:val="20"/>
    </w:rPr>
  </w:style>
  <w:style w:type="character" w:styleId="11" w:customStyle="1">
    <w:name w:val="Обычный1"/>
    <w:qFormat/>
    <w:rsid w:val="000e7bbf"/>
    <w:rPr>
      <w:rFonts w:ascii="Arial" w:hAnsi="Arial"/>
      <w:sz w:val="20"/>
    </w:rPr>
  </w:style>
  <w:style w:type="character" w:styleId="2" w:customStyle="1">
    <w:name w:val="Оглавление 2 Знак"/>
    <w:qFormat/>
    <w:locked/>
    <w:rsid w:val="000e7bbf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4" w:customStyle="1">
    <w:name w:val="Оглавление 4 Знак"/>
    <w:qFormat/>
    <w:locked/>
    <w:rsid w:val="000e7bbf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sid w:val="000e7bbf"/>
    <w:rPr>
      <w:rFonts w:ascii="Arial" w:hAnsi="Arial" w:eastAsia="Times New Roman" w:cs="Times New Roman"/>
      <w:sz w:val="20"/>
      <w:szCs w:val="20"/>
    </w:rPr>
  </w:style>
  <w:style w:type="character" w:styleId="6" w:customStyle="1">
    <w:name w:val="Оглавление 6 Знак"/>
    <w:qFormat/>
    <w:locked/>
    <w:rsid w:val="000e7bbf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7" w:customStyle="1">
    <w:name w:val="Оглавление 7 Знак"/>
    <w:qFormat/>
    <w:locked/>
    <w:rsid w:val="000e7bbf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ConsPlusNormal1" w:customStyle="1">
    <w:name w:val="ConsPlusNormal1"/>
    <w:link w:val="ConsPlusNormal"/>
    <w:qFormat/>
    <w:locked/>
    <w:rsid w:val="000e7bbf"/>
    <w:rPr>
      <w:rFonts w:ascii="Times New Roman" w:hAnsi="Times New Roman" w:eastAsia="Times New Roman" w:cs="Times New Roman"/>
      <w:sz w:val="24"/>
      <w:lang w:eastAsia="ru-RU"/>
    </w:rPr>
  </w:style>
  <w:style w:type="character" w:styleId="31" w:customStyle="1">
    <w:name w:val="Оглавление 3 Знак"/>
    <w:qFormat/>
    <w:locked/>
    <w:rsid w:val="000e7bbf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Style10" w:customStyle="1">
    <w:name w:val="Символ сноски"/>
    <w:qFormat/>
    <w:rsid w:val="00731610"/>
    <w:rPr/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0e7bbf"/>
    <w:rPr>
      <w:rFonts w:ascii="Calibri" w:hAnsi="Calibri" w:eastAsia="Times New Roman" w:cs="Times New Roman"/>
      <w:sz w:val="20"/>
      <w:szCs w:val="20"/>
      <w:vertAlign w:val="superscript"/>
    </w:rPr>
  </w:style>
  <w:style w:type="character" w:styleId="Style11" w:customStyle="1">
    <w:name w:val="Текст выноски Знак"/>
    <w:basedOn w:val="DefaultParagraphFont"/>
    <w:uiPriority w:val="99"/>
    <w:qFormat/>
    <w:rsid w:val="000e7bbf"/>
    <w:rPr>
      <w:rFonts w:ascii="Tahoma" w:hAnsi="Tahoma" w:eastAsia="Times New Roman" w:cs="Times New Roman"/>
      <w:sz w:val="16"/>
      <w:szCs w:val="20"/>
    </w:rPr>
  </w:style>
  <w:style w:type="character" w:styleId="Style12" w:customStyle="1">
    <w:name w:val="Абзац списка Знак"/>
    <w:qFormat/>
    <w:locked/>
    <w:rsid w:val="000e7bbf"/>
    <w:rPr>
      <w:rFonts w:ascii="Arial" w:hAnsi="Arial" w:eastAsia="Times New Roman" w:cs="Times New Roman"/>
      <w:sz w:val="20"/>
      <w:szCs w:val="20"/>
    </w:rPr>
  </w:style>
  <w:style w:type="character" w:styleId="Hyperlink" w:customStyle="1">
    <w:name w:val="Hyperlink"/>
    <w:uiPriority w:val="99"/>
    <w:rsid w:val="000e7bbf"/>
    <w:rPr>
      <w:rFonts w:ascii="Calibri" w:hAnsi="Calibri" w:eastAsia="Times New Roman" w:cs="Times New Roman"/>
      <w:color w:val="0000FF"/>
      <w:sz w:val="20"/>
      <w:szCs w:val="20"/>
      <w:u w:val="single"/>
    </w:rPr>
  </w:style>
  <w:style w:type="character" w:styleId="Footnote1" w:customStyle="1">
    <w:name w:val="Footnote1"/>
    <w:qFormat/>
    <w:locked/>
    <w:rsid w:val="000e7bbf"/>
    <w:rPr>
      <w:rFonts w:ascii="Arial" w:hAnsi="Arial" w:eastAsia="Times New Roman" w:cs="Times New Roman"/>
      <w:sz w:val="20"/>
      <w:szCs w:val="20"/>
    </w:rPr>
  </w:style>
  <w:style w:type="character" w:styleId="12" w:customStyle="1">
    <w:name w:val="Оглавление 1 Знак"/>
    <w:link w:val="111"/>
    <w:qFormat/>
    <w:locked/>
    <w:rsid w:val="000e7bbf"/>
    <w:rPr>
      <w:rFonts w:ascii="XO Thames" w:hAnsi="XO Thames" w:eastAsia="Times New Roman" w:cs="Times New Roman"/>
      <w:b/>
      <w:sz w:val="20"/>
      <w:szCs w:val="20"/>
    </w:rPr>
  </w:style>
  <w:style w:type="character" w:styleId="HeaderandFooter1" w:customStyle="1">
    <w:name w:val="Header and Footer1"/>
    <w:link w:val="Style24"/>
    <w:qFormat/>
    <w:locked/>
    <w:rsid w:val="000e7bbf"/>
    <w:rPr>
      <w:rFonts w:ascii="XO Thames" w:hAnsi="XO Thames" w:eastAsia="Times New Roman" w:cs="Calibri"/>
      <w:color w:val="000000"/>
      <w:lang w:eastAsia="ru-RU"/>
    </w:rPr>
  </w:style>
  <w:style w:type="character" w:styleId="9" w:customStyle="1">
    <w:name w:val="Оглавление 9 Знак"/>
    <w:qFormat/>
    <w:locked/>
    <w:rsid w:val="000e7bbf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8" w:customStyle="1">
    <w:name w:val="Оглавление 8 Знак"/>
    <w:qFormat/>
    <w:locked/>
    <w:rsid w:val="000e7bbf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ConsPlusNonformat1" w:customStyle="1">
    <w:name w:val="ConsPlusNonformat1"/>
    <w:link w:val="ConsPlusNonformat"/>
    <w:qFormat/>
    <w:locked/>
    <w:rsid w:val="000e7bbf"/>
    <w:rPr>
      <w:rFonts w:ascii="Courier New" w:hAnsi="Courier New" w:eastAsia="Times New Roman" w:cs="Calibri"/>
      <w:color w:val="000000"/>
      <w:lang w:eastAsia="ru-RU"/>
    </w:rPr>
  </w:style>
  <w:style w:type="character" w:styleId="32" w:customStyle="1">
    <w:name w:val="Основной текст с отступом 3 Знак"/>
    <w:basedOn w:val="DefaultParagraphFont"/>
    <w:uiPriority w:val="99"/>
    <w:qFormat/>
    <w:rsid w:val="000e7bbf"/>
    <w:rPr>
      <w:rFonts w:ascii="Times New Roman" w:hAnsi="Times New Roman" w:eastAsia="Times New Roman" w:cs="Times New Roman"/>
      <w:sz w:val="28"/>
      <w:szCs w:val="20"/>
    </w:rPr>
  </w:style>
  <w:style w:type="character" w:styleId="5" w:customStyle="1">
    <w:name w:val="Оглавление 5 Знак"/>
    <w:qFormat/>
    <w:locked/>
    <w:rsid w:val="000e7bbf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ConsPlusCell1" w:customStyle="1">
    <w:name w:val="ConsPlusCell1"/>
    <w:link w:val="ConsPlusCell"/>
    <w:qFormat/>
    <w:locked/>
    <w:rsid w:val="000e7bbf"/>
    <w:rPr>
      <w:rFonts w:ascii="Courier New" w:hAnsi="Courier New" w:eastAsia="Times New Roman" w:cs="Calibri"/>
      <w:color w:val="000000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e7bbf"/>
    <w:rPr>
      <w:rFonts w:ascii="Arial" w:hAnsi="Arial" w:eastAsia="Times New Roman" w:cs="Times New Roman"/>
      <w:sz w:val="20"/>
      <w:szCs w:val="20"/>
    </w:rPr>
  </w:style>
  <w:style w:type="character" w:styleId="Style14" w:customStyle="1">
    <w:name w:val="Подзаголовок Знак"/>
    <w:basedOn w:val="DefaultParagraphFont"/>
    <w:uiPriority w:val="11"/>
    <w:qFormat/>
    <w:rsid w:val="000e7bbf"/>
    <w:rPr>
      <w:rFonts w:ascii="XO Thames" w:hAnsi="XO Thames" w:eastAsia="Times New Roman" w:cs="Times New Roman"/>
      <w:i/>
      <w:color w:val="616161"/>
      <w:sz w:val="24"/>
      <w:szCs w:val="20"/>
    </w:rPr>
  </w:style>
  <w:style w:type="character" w:styleId="Toc101" w:customStyle="1">
    <w:name w:val="toc 101"/>
    <w:qFormat/>
    <w:locked/>
    <w:rsid w:val="000e7bbf"/>
    <w:rPr>
      <w:rFonts w:ascii="Calibri" w:hAnsi="Calibri" w:eastAsia="Times New Roman" w:cs="Times New Roman"/>
      <w:color w:val="000000"/>
      <w:szCs w:val="20"/>
      <w:lang w:eastAsia="ru-RU"/>
    </w:rPr>
  </w:style>
  <w:style w:type="character" w:styleId="Style15" w:customStyle="1">
    <w:name w:val="Название Знак"/>
    <w:basedOn w:val="DefaultParagraphFont"/>
    <w:uiPriority w:val="10"/>
    <w:qFormat/>
    <w:rsid w:val="000e7bbf"/>
    <w:rPr>
      <w:rFonts w:ascii="XO Thames" w:hAnsi="XO Thames" w:eastAsia="Times New Roman" w:cs="Times New Roman"/>
      <w:b/>
      <w:sz w:val="52"/>
      <w:szCs w:val="20"/>
    </w:rPr>
  </w:style>
  <w:style w:type="character" w:styleId="ConsPlusTitle1" w:customStyle="1">
    <w:name w:val="ConsPlusTitle1"/>
    <w:link w:val="ConsPlusTitle"/>
    <w:qFormat/>
    <w:locked/>
    <w:rsid w:val="000e7bbf"/>
    <w:rPr>
      <w:rFonts w:ascii="Times New Roman" w:hAnsi="Times New Roman" w:eastAsia="Times New Roman" w:cs="Times New Roman"/>
      <w:b/>
      <w:sz w:val="24"/>
      <w:lang w:eastAsia="ru-RU"/>
    </w:rPr>
  </w:style>
  <w:style w:type="character" w:styleId="Style16" w:customStyle="1">
    <w:name w:val="Текст сноски Знак"/>
    <w:basedOn w:val="DefaultParagraphFont"/>
    <w:uiPriority w:val="99"/>
    <w:qFormat/>
    <w:rsid w:val="000e7bbf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13" w:customStyle="1">
    <w:name w:val="Неразрешенное упоминание1"/>
    <w:uiPriority w:val="99"/>
    <w:semiHidden/>
    <w:unhideWhenUsed/>
    <w:qFormat/>
    <w:rsid w:val="000e7bbf"/>
    <w:rPr>
      <w:rFonts w:cs="Times New Roman"/>
      <w:color w:val="605E5C"/>
      <w:shd w:fill="E1DFDD" w:val="clear"/>
    </w:rPr>
  </w:style>
  <w:style w:type="character" w:styleId="Annotationreference">
    <w:name w:val="annotation reference"/>
    <w:uiPriority w:val="99"/>
    <w:semiHidden/>
    <w:unhideWhenUsed/>
    <w:qFormat/>
    <w:rsid w:val="000e7bbf"/>
    <w:rPr>
      <w:rFonts w:cs="Times New Roman"/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7bbf"/>
    <w:rPr>
      <w:rFonts w:ascii="Arial" w:hAnsi="Arial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0e7bbf"/>
    <w:rPr>
      <w:rFonts w:ascii="Arial" w:hAnsi="Arial" w:eastAsia="Times New Roman" w:cs="Times New Roman"/>
      <w:b/>
      <w:bCs/>
      <w:sz w:val="20"/>
      <w:szCs w:val="20"/>
    </w:rPr>
  </w:style>
  <w:style w:type="character" w:styleId="HTML" w:customStyle="1">
    <w:name w:val="Стандартный HTML Знак"/>
    <w:basedOn w:val="DefaultParagraphFont"/>
    <w:uiPriority w:val="99"/>
    <w:qFormat/>
    <w:rsid w:val="000e7bbf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9" w:customStyle="1">
    <w:name w:val="Текст концевой сноски Знак"/>
    <w:basedOn w:val="DefaultParagraphFont"/>
    <w:semiHidden/>
    <w:qFormat/>
    <w:rsid w:val="000e7bb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11" w:customStyle="1">
    <w:name w:val="Оглавление 3 Знак1"/>
    <w:qFormat/>
    <w:rsid w:val="00ee6542"/>
    <w:rPr/>
  </w:style>
  <w:style w:type="character" w:styleId="Style20" w:customStyle="1">
    <w:name w:val="Символ концевой сноски"/>
    <w:qFormat/>
    <w:rsid w:val="00731610"/>
    <w:rPr/>
  </w:style>
  <w:style w:type="character" w:styleId="EndnoteReference">
    <w:name w:val="Endnote Reference"/>
    <w:rPr>
      <w:vertAlign w:val="superscript"/>
    </w:rPr>
  </w:style>
  <w:style w:type="character" w:styleId="Style21" w:customStyle="1">
    <w:name w:val="Символы концевой сноски"/>
    <w:qFormat/>
    <w:rsid w:val="00731610"/>
    <w:rPr/>
  </w:style>
  <w:style w:type="character" w:styleId="14" w:customStyle="1">
    <w:name w:val="Верхний колонтитул Знак1"/>
    <w:basedOn w:val="DefaultParagraphFont"/>
    <w:uiPriority w:val="99"/>
    <w:semiHidden/>
    <w:qFormat/>
    <w:rsid w:val="00c30465"/>
    <w:rPr/>
  </w:style>
  <w:style w:type="character" w:styleId="15" w:customStyle="1">
    <w:name w:val="Нижний колонтитул Знак1"/>
    <w:basedOn w:val="DefaultParagraphFont"/>
    <w:uiPriority w:val="99"/>
    <w:semiHidden/>
    <w:qFormat/>
    <w:rsid w:val="00c30465"/>
    <w:rPr/>
  </w:style>
  <w:style w:type="character" w:styleId="Strong">
    <w:name w:val="Strong"/>
    <w:basedOn w:val="DefaultParagraphFont"/>
    <w:uiPriority w:val="22"/>
    <w:qFormat/>
    <w:rsid w:val="00fd301d"/>
    <w:rPr>
      <w:b/>
      <w:bCs/>
    </w:rPr>
  </w:style>
  <w:style w:type="paragraph" w:styleId="Style22" w:customStyle="1">
    <w:name w:val="Заголовок"/>
    <w:next w:val="BodyText"/>
    <w:qFormat/>
    <w:rsid w:val="00731610"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0"/>
      <w:sz w:val="28"/>
      <w:szCs w:val="28"/>
      <w:lang w:val="ru-RU" w:eastAsia="en-US" w:bidi="ar-SA"/>
    </w:rPr>
  </w:style>
  <w:style w:type="paragraph" w:styleId="BodyText">
    <w:name w:val="Body Text"/>
    <w:rsid w:val="00731610"/>
    <w:pPr>
      <w:widowControl/>
      <w:suppressAutoHyphens w:val="true"/>
      <w:bidi w:val="0"/>
      <w:spacing w:lineRule="auto" w:line="288" w:before="0" w:after="14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List">
    <w:name w:val="List"/>
    <w:basedOn w:val="BodyText"/>
    <w:rsid w:val="00731610"/>
    <w:pPr/>
    <w:rPr>
      <w:rFonts w:cs="Mangal"/>
    </w:rPr>
  </w:style>
  <w:style w:type="paragraph" w:styleId="Caption" w:customStyle="1">
    <w:name w:val="Caption"/>
    <w:basedOn w:val="Normal"/>
    <w:qFormat/>
    <w:rsid w:val="00a608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111"/>
    <w:qFormat/>
    <w:rsid w:val="00731610"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731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1" w:customStyle="1">
    <w:name w:val="Обычный11"/>
    <w:link w:val="12"/>
    <w:qFormat/>
    <w:rsid w:val="0073161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16" w:customStyle="1">
    <w:name w:val="Название1"/>
    <w:basedOn w:val="111"/>
    <w:uiPriority w:val="10"/>
    <w:qFormat/>
    <w:rsid w:val="000e7bbf"/>
    <w:pPr/>
    <w:rPr>
      <w:rFonts w:ascii="XO Thames" w:hAnsi="XO Thames"/>
      <w:b/>
      <w:sz w:val="52"/>
    </w:rPr>
  </w:style>
  <w:style w:type="paragraph" w:styleId="TOC2" w:customStyle="1">
    <w:name w:val="TOC 2"/>
    <w:basedOn w:val="111"/>
    <w:link w:val="21"/>
    <w:rsid w:val="000e7bbf"/>
    <w:pPr>
      <w:ind w:left="200"/>
    </w:pPr>
    <w:rPr>
      <w:rFonts w:ascii="Calibri" w:hAnsi="Calibri"/>
      <w:sz w:val="22"/>
    </w:rPr>
  </w:style>
  <w:style w:type="paragraph" w:styleId="TOC4" w:customStyle="1">
    <w:name w:val="TOC 4"/>
    <w:basedOn w:val="111"/>
    <w:link w:val="41"/>
    <w:rsid w:val="000e7bbf"/>
    <w:pPr>
      <w:ind w:left="600"/>
    </w:pPr>
    <w:rPr>
      <w:rFonts w:ascii="Calibri" w:hAnsi="Calibri"/>
      <w:sz w:val="22"/>
    </w:rPr>
  </w:style>
  <w:style w:type="paragraph" w:styleId="Style24" w:customStyle="1">
    <w:name w:val="Верхний и нижний колонтитулы"/>
    <w:link w:val="HeaderandFooter1"/>
    <w:qFormat/>
    <w:rsid w:val="000e7bbf"/>
    <w:pPr>
      <w:widowControl/>
      <w:suppressAutoHyphens w:val="true"/>
      <w:bidi w:val="0"/>
      <w:spacing w:lineRule="auto" w:line="360" w:before="0" w:after="200"/>
      <w:jc w:val="left"/>
    </w:pPr>
    <w:rPr>
      <w:rFonts w:ascii="XO Thames" w:hAnsi="XO Thames" w:eastAsia="Times New Roman" w:cs="Calibri"/>
      <w:color w:val="000000"/>
      <w:kern w:val="0"/>
      <w:sz w:val="20"/>
      <w:szCs w:val="22"/>
      <w:lang w:val="ru-RU" w:eastAsia="ru-RU" w:bidi="ar-SA"/>
    </w:rPr>
  </w:style>
  <w:style w:type="paragraph" w:styleId="Style25">
    <w:name w:val="Колонтитул"/>
    <w:basedOn w:val="Normal"/>
    <w:qFormat/>
    <w:pPr/>
    <w:rPr/>
  </w:style>
  <w:style w:type="paragraph" w:styleId="Footer">
    <w:name w:val="Footer"/>
    <w:basedOn w:val="Normal"/>
    <w:link w:val="15"/>
    <w:uiPriority w:val="99"/>
    <w:semiHidden/>
    <w:unhideWhenUsed/>
    <w:rsid w:val="00c30465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TOC6" w:customStyle="1">
    <w:name w:val="TOC 6"/>
    <w:basedOn w:val="111"/>
    <w:rsid w:val="000e7bbf"/>
    <w:pPr>
      <w:ind w:left="1000"/>
    </w:pPr>
    <w:rPr>
      <w:rFonts w:ascii="Calibri" w:hAnsi="Calibri"/>
      <w:sz w:val="22"/>
    </w:rPr>
  </w:style>
  <w:style w:type="paragraph" w:styleId="TOC7" w:customStyle="1">
    <w:name w:val="TOC 7"/>
    <w:basedOn w:val="111"/>
    <w:rsid w:val="000e7bbf"/>
    <w:pPr>
      <w:ind w:left="1200"/>
    </w:pPr>
    <w:rPr>
      <w:rFonts w:ascii="Calibri" w:hAnsi="Calibri"/>
      <w:sz w:val="22"/>
    </w:rPr>
  </w:style>
  <w:style w:type="paragraph" w:styleId="ConsPlusNormal" w:customStyle="1">
    <w:name w:val="ConsPlusNormal"/>
    <w:link w:val="ConsPlusNormal1"/>
    <w:qFormat/>
    <w:rsid w:val="000e7bbf"/>
    <w:pPr>
      <w:widowControl w:val="false"/>
      <w:suppressAutoHyphens w:val="true"/>
      <w:bidi w:val="0"/>
      <w:spacing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17" w:customStyle="1">
    <w:name w:val="Основной шрифт абзаца1"/>
    <w:qFormat/>
    <w:rsid w:val="000e7bb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3" w:customStyle="1">
    <w:name w:val="TOC 3"/>
    <w:basedOn w:val="111"/>
    <w:rsid w:val="000e7bbf"/>
    <w:pPr>
      <w:ind w:left="400"/>
    </w:pPr>
    <w:rPr>
      <w:rFonts w:ascii="Calibri" w:hAnsi="Calibri"/>
      <w:sz w:val="22"/>
    </w:rPr>
  </w:style>
  <w:style w:type="paragraph" w:styleId="112" w:customStyle="1">
    <w:name w:val="Оглавление 1 Знак1"/>
    <w:basedOn w:val="17"/>
    <w:uiPriority w:val="99"/>
    <w:qFormat/>
    <w:rsid w:val="000e7bbf"/>
    <w:pPr/>
    <w:rPr>
      <w:color w:val="00000A"/>
      <w:vertAlign w:val="superscript"/>
    </w:rPr>
  </w:style>
  <w:style w:type="paragraph" w:styleId="BalloonText">
    <w:name w:val="Balloon Text"/>
    <w:basedOn w:val="111"/>
    <w:uiPriority w:val="99"/>
    <w:qFormat/>
    <w:rsid w:val="000e7bbf"/>
    <w:pPr/>
    <w:rPr>
      <w:rFonts w:ascii="Tahoma" w:hAnsi="Tahoma"/>
      <w:sz w:val="16"/>
    </w:rPr>
  </w:style>
  <w:style w:type="paragraph" w:styleId="ListParagraph">
    <w:name w:val="List Paragraph"/>
    <w:basedOn w:val="111"/>
    <w:qFormat/>
    <w:rsid w:val="000e7bbf"/>
    <w:pPr>
      <w:spacing w:before="0" w:after="0"/>
      <w:ind w:left="720"/>
      <w:contextualSpacing/>
    </w:pPr>
    <w:rPr/>
  </w:style>
  <w:style w:type="paragraph" w:styleId="18" w:customStyle="1">
    <w:name w:val="Гиперссылка1"/>
    <w:basedOn w:val="17"/>
    <w:uiPriority w:val="99"/>
    <w:qFormat/>
    <w:rsid w:val="000e7bbf"/>
    <w:pPr/>
    <w:rPr>
      <w:color w:val="0000FF"/>
      <w:u w:val="single"/>
    </w:rPr>
  </w:style>
  <w:style w:type="paragraph" w:styleId="FootnoteText" w:customStyle="1">
    <w:name w:val="Footnote Text"/>
    <w:basedOn w:val="111"/>
    <w:uiPriority w:val="99"/>
    <w:rsid w:val="000e7bbf"/>
    <w:pPr/>
    <w:rPr>
      <w:lang w:eastAsia="ar-SA"/>
    </w:rPr>
  </w:style>
  <w:style w:type="paragraph" w:styleId="TOC1" w:customStyle="1">
    <w:name w:val="TOC 1"/>
    <w:basedOn w:val="111"/>
    <w:rsid w:val="000e7bbf"/>
    <w:pPr/>
    <w:rPr>
      <w:rFonts w:ascii="XO Thames" w:hAnsi="XO Thames"/>
      <w:b/>
    </w:rPr>
  </w:style>
  <w:style w:type="paragraph" w:styleId="TOC9" w:customStyle="1">
    <w:name w:val="TOC 9"/>
    <w:basedOn w:val="111"/>
    <w:rsid w:val="000e7bbf"/>
    <w:pPr>
      <w:ind w:left="1600"/>
    </w:pPr>
    <w:rPr>
      <w:rFonts w:ascii="Calibri" w:hAnsi="Calibri"/>
      <w:sz w:val="22"/>
    </w:rPr>
  </w:style>
  <w:style w:type="paragraph" w:styleId="TOC8" w:customStyle="1">
    <w:name w:val="TOC 8"/>
    <w:basedOn w:val="111"/>
    <w:rsid w:val="000e7bbf"/>
    <w:pPr>
      <w:ind w:left="1400"/>
    </w:pPr>
    <w:rPr>
      <w:rFonts w:ascii="Calibri" w:hAnsi="Calibri"/>
      <w:sz w:val="22"/>
    </w:rPr>
  </w:style>
  <w:style w:type="paragraph" w:styleId="ConsPlusNonformat" w:customStyle="1">
    <w:name w:val="ConsPlusNonformat"/>
    <w:link w:val="ConsPlusNonformat1"/>
    <w:qFormat/>
    <w:rsid w:val="000e7bb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alibri"/>
      <w:color w:val="000000"/>
      <w:kern w:val="0"/>
      <w:sz w:val="20"/>
      <w:szCs w:val="22"/>
      <w:lang w:val="ru-RU" w:eastAsia="ru-RU" w:bidi="ar-SA"/>
    </w:rPr>
  </w:style>
  <w:style w:type="paragraph" w:styleId="BodyTextIndent3">
    <w:name w:val="Body Text Indent 3"/>
    <w:basedOn w:val="111"/>
    <w:uiPriority w:val="99"/>
    <w:qFormat/>
    <w:rsid w:val="000e7bbf"/>
    <w:pPr>
      <w:ind w:hanging="1418" w:left="1418"/>
      <w:jc w:val="both"/>
    </w:pPr>
    <w:rPr>
      <w:sz w:val="28"/>
    </w:rPr>
  </w:style>
  <w:style w:type="paragraph" w:styleId="TOC5" w:customStyle="1">
    <w:name w:val="TOC 5"/>
    <w:basedOn w:val="111"/>
    <w:link w:val="51"/>
    <w:rsid w:val="000e7bbf"/>
    <w:pPr>
      <w:ind w:left="800"/>
    </w:pPr>
    <w:rPr>
      <w:rFonts w:ascii="Calibri" w:hAnsi="Calibri"/>
      <w:sz w:val="22"/>
    </w:rPr>
  </w:style>
  <w:style w:type="paragraph" w:styleId="ConsPlusCell" w:customStyle="1">
    <w:name w:val="ConsPlusCell"/>
    <w:link w:val="ConsPlusCell1"/>
    <w:qFormat/>
    <w:rsid w:val="000e7bbf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alibri"/>
      <w:color w:val="000000"/>
      <w:kern w:val="0"/>
      <w:sz w:val="20"/>
      <w:szCs w:val="22"/>
      <w:lang w:val="ru-RU" w:eastAsia="ru-RU" w:bidi="ar-SA"/>
    </w:rPr>
  </w:style>
  <w:style w:type="paragraph" w:styleId="Header">
    <w:name w:val="Header"/>
    <w:basedOn w:val="Normal"/>
    <w:link w:val="14"/>
    <w:uiPriority w:val="99"/>
    <w:unhideWhenUsed/>
    <w:rsid w:val="00c30465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Subtitle">
    <w:name w:val="Subtitle"/>
    <w:basedOn w:val="111"/>
    <w:uiPriority w:val="11"/>
    <w:qFormat/>
    <w:rsid w:val="000e7bbf"/>
    <w:pPr/>
    <w:rPr>
      <w:rFonts w:ascii="XO Thames" w:hAnsi="XO Thames"/>
      <w:i/>
      <w:color w:val="616161"/>
    </w:rPr>
  </w:style>
  <w:style w:type="paragraph" w:styleId="Toc10" w:customStyle="1">
    <w:name w:val="toc 10"/>
    <w:qFormat/>
    <w:rsid w:val="000e7bbf"/>
    <w:pPr>
      <w:widowControl/>
      <w:suppressAutoHyphens w:val="true"/>
      <w:bidi w:val="0"/>
      <w:spacing w:lineRule="auto" w:line="276" w:before="0" w:after="200"/>
      <w:ind w:left="180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link w:val="ConsPlusTitle1"/>
    <w:qFormat/>
    <w:rsid w:val="000e7bb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2"/>
      <w:lang w:val="ru-RU" w:eastAsia="ru-RU" w:bidi="ar-SA"/>
    </w:rPr>
  </w:style>
  <w:style w:type="paragraph" w:styleId="Annotationtext">
    <w:name w:val="annotation text"/>
    <w:basedOn w:val="111"/>
    <w:uiPriority w:val="99"/>
    <w:semiHidden/>
    <w:unhideWhenUsed/>
    <w:qFormat/>
    <w:rsid w:val="000e7bbf"/>
    <w:pPr/>
    <w:rPr/>
  </w:style>
  <w:style w:type="paragraph" w:styleId="Annotationsubject">
    <w:name w:val="annotation subject"/>
    <w:basedOn w:val="Annotationtext"/>
    <w:uiPriority w:val="99"/>
    <w:semiHidden/>
    <w:unhideWhenUsed/>
    <w:qFormat/>
    <w:rsid w:val="000e7bbf"/>
    <w:pPr/>
    <w:rPr>
      <w:b/>
      <w:bCs/>
    </w:rPr>
  </w:style>
  <w:style w:type="paragraph" w:styleId="HTMLPreformatted">
    <w:name w:val="HTML Preformatted"/>
    <w:basedOn w:val="111"/>
    <w:uiPriority w:val="99"/>
    <w:unhideWhenUsed/>
    <w:qFormat/>
    <w:rsid w:val="000e7bbf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EndnoteText" w:customStyle="1">
    <w:name w:val="Endnote Text"/>
    <w:basedOn w:val="111"/>
    <w:semiHidden/>
    <w:rsid w:val="000e7bbf"/>
    <w:pPr/>
    <w:rPr/>
  </w:style>
  <w:style w:type="paragraph" w:styleId="NoSpacing">
    <w:name w:val="No Spacing"/>
    <w:qFormat/>
    <w:rsid w:val="00ea2c02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26" w:customStyle="1">
    <w:name w:val="Нормальный"/>
    <w:basedOn w:val="111"/>
    <w:qFormat/>
    <w:rsid w:val="00ea2c02"/>
    <w:pPr/>
    <w:rPr/>
  </w:style>
  <w:style w:type="paragraph" w:styleId="Default" w:customStyle="1">
    <w:name w:val="Default"/>
    <w:qFormat/>
    <w:rsid w:val="003b1b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031673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login.consultant.ru/link/?req=doc&amp;base=LAW&amp;n=454103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41318-99C2-482D-9FC3-C104625B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LibreOffice/7.6.0.3$Windows_X86_64 LibreOffice_project/69edd8b8ebc41d00b4de3915dc82f8f0fc3b6265</Application>
  <AppVersion>15.0000</AppVersion>
  <Pages>7</Pages>
  <Words>1978</Words>
  <Characters>15156</Characters>
  <CharactersWithSpaces>17594</CharactersWithSpaces>
  <Paragraphs>94</Paragraphs>
  <Company>КонсультантПлюс Версия 4021.00.27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2025-04-02T12:39:00Z</dcterms:created>
  <dc:creator>SASHA</dc:creator>
  <dc:description/>
  <dc:language>ru-RU</dc:language>
  <cp:lastModifiedBy/>
  <cp:lastPrinted>2021-10-13T13:03:00Z</cp:lastPrinted>
  <dcterms:modified xsi:type="dcterms:W3CDTF">2025-05-14T15:55:58Z</dcterms:modified>
  <cp:revision>5</cp:revision>
  <dc:subject/>
  <dc:title>Федеральный закон от 21.07.2014 N 209-ФЗ(ред. от 11.06.2021)"О государственной информационной системе жилищно-коммунального хозяйства"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