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lineRule="auto" w:line="240"/>
        <w:ind w:left="851" w:right="0" w:hanging="85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УТВЕРЖДАЮ:</w:t>
      </w:r>
    </w:p>
    <w:p>
      <w:pPr>
        <w:pStyle w:val="Normal"/>
        <w:widowControl w:val="false"/>
        <w:suppressAutoHyphens w:val="true"/>
        <w:bidi w:val="0"/>
        <w:spacing w:lineRule="auto" w:line="240"/>
        <w:ind w:left="635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Заместитель главы городского округа - начальник управления экономики и имущественных отношений города Калуги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 </w:t>
      </w:r>
      <w:r>
        <w:rPr>
          <w:rFonts w:cs="Times New Roman" w:ascii="Times New Roman" w:hAnsi="Times New Roman"/>
          <w:sz w:val="24"/>
          <w:szCs w:val="24"/>
          <w:lang w:val="ru-RU"/>
        </w:rPr>
        <w:t>Р.М. Евстратов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sz w:val="24"/>
          <w:szCs w:val="24"/>
          <w:lang w:val="en-US"/>
        </w:rPr>
        <w:t>12</w:t>
      </w:r>
      <w:r>
        <w:rPr>
          <w:rFonts w:cs="Times New Roman" w:ascii="Times New Roman" w:hAnsi="Times New Roman"/>
          <w:sz w:val="24"/>
          <w:szCs w:val="24"/>
          <w:lang w:val="ru-RU"/>
        </w:rPr>
        <w:t>» февраля 202</w:t>
      </w:r>
      <w:r>
        <w:rPr>
          <w:rFonts w:cs="Times New Roman" w:ascii="Times New Roman" w:hAnsi="Times New Roman"/>
          <w:sz w:val="24"/>
          <w:szCs w:val="24"/>
          <w:lang w:val="en-US"/>
        </w:rPr>
        <w:t>6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г.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ДОКЛАД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ОБ АНТИМОНОПОЛЬНОМ КОМПЛАЕНСЕ В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УПРАВЛЕНИИ ЭКОНОМИКИ И ИМУЩЕСТВЕННЫХ ОТНОШЕНИЙ 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ГОРОДА КАЛУГИ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Приказом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управления экономики </w:t>
      </w:r>
      <w:r>
        <w:rPr>
          <w:rFonts w:ascii="Times New Roman" w:hAnsi="Times New Roman"/>
          <w:sz w:val="24"/>
          <w:szCs w:val="24"/>
          <w:lang w:val="ru-RU"/>
        </w:rPr>
        <w:t xml:space="preserve">и имущественных отношений </w:t>
      </w:r>
      <w:r>
        <w:rPr>
          <w:rFonts w:cs="Times New Roman" w:ascii="Times New Roman" w:hAnsi="Times New Roman"/>
          <w:sz w:val="24"/>
          <w:szCs w:val="24"/>
          <w:lang w:val="ru-RU"/>
        </w:rPr>
        <w:t>города Калуги от 30.01.2026 № 7-од «Об утверждении антимонопольной политики» (далее - приказ) обя</w:t>
      </w:r>
      <w:r>
        <w:rPr>
          <w:rFonts w:cs="Times New Roman" w:ascii="Times New Roman" w:hAnsi="Times New Roman"/>
          <w:sz w:val="24"/>
          <w:szCs w:val="24"/>
        </w:rPr>
        <w:t xml:space="preserve">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функционированию и поддержанию, внедрению мер по соблюдению антимонопольного законодательства в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ru-RU" w:bidi="ar-SA"/>
        </w:rPr>
        <w:t>управлении экономики и имущественных отношений города Калуги (далее - Управление)</w:t>
      </w:r>
      <w:r>
        <w:rPr>
          <w:rFonts w:cs="Times New Roman" w:ascii="Times New Roman" w:hAnsi="Times New Roman"/>
          <w:sz w:val="24"/>
          <w:szCs w:val="24"/>
        </w:rPr>
        <w:t>, их совершенствованию, выявлению и предотвращение нарушений в данной сфере возложены на аналитический отдел.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целях совершенствования  антимонопольной комплаенс-системы по выявлению и предотвращению нарушений в сфере антимонопольного законодательства Управлением проведены следующие мероприятия.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</w:rPr>
        <w:t>Надлежащее исполнение требований законодательства Российской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сотрудников Управления.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Приказом Управления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определено, что политика </w:t>
      </w:r>
      <w:r>
        <w:rPr>
          <w:rFonts w:ascii="Times New Roman" w:hAnsi="Times New Roman"/>
          <w:color w:val="000000"/>
          <w:sz w:val="24"/>
          <w:szCs w:val="24"/>
        </w:rPr>
        <w:t>применяется в отношении всех сотрудников, в частности, непосредственно затрагивает следующие категории сотрудников: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принятии решений, связанных с распоряжением имуществом муниципальных предприятий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учреждений</w:t>
      </w:r>
      <w:r>
        <w:rPr>
          <w:rFonts w:ascii="Times New Roman" w:hAnsi="Times New Roman"/>
          <w:color w:val="000000"/>
          <w:sz w:val="24"/>
          <w:szCs w:val="24"/>
        </w:rPr>
        <w:t>, обеспечивающие подготовку документов по согласованию указанных решений;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разработке муниципальной инвестиционной и инновационной политики;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об оказани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поддержки субъектам малого и среднего предпринимательства;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об определении поставщиков (подрядчиков, исполнителей) в соответствии со статьей 93 Федерального закона от 05.04.2013 № 44-ФЗ «О контрактной системе в сфере закупок, товаров, работ, услуг для обеспечения государственных и муниципальных нужд»;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участвующие в согласовании сделок, совершаемых муниципальными унитарными предприятиями, учредителем которых является муниципальное образование «Город Калуга»;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при определении перечня торговых объектов (территорий), расположенных в пределах территории  города Калуги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об условиях приватизации муниципального имущества;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по вопросу передачи жилых помещений в собственность граждан в порядке приватизации;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принятии решений о предоставлении муниципального имущества в аренду, безвозмездное и иное пользование. 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  <w:lang w:val="ru-RU"/>
        </w:rPr>
        <w:t>В целях реализации антимонопольной политики Управления в части формирования у сотрудников необходимых знаний при соблюдении антимонопольного законодательства осуществляется информирование, пояснения, а также ознакомление сотрудников с антимонопольной политикой Управления.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  <w:lang w:val="ru-RU"/>
        </w:rPr>
        <w:t>Для выявления, оценки и регулирования рисков нарушений антимонопольного законодательства ответственным подразделением Управления, совместно с заинтересованными структурными подразделениями Управления, рассматриваются и анализируются предложения от таких структурных подразделений по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5. Нарушений антимонопольного законодательства не выявлено.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6. Выводы и рекомендации.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При формировании перечня комплаенс-рисков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/>
      </w:r>
    </w:p>
    <w:sectPr>
      <w:footerReference w:type="default" r:id="rId2"/>
      <w:type w:val="nextPage"/>
      <w:pgSz w:w="12240" w:h="15840"/>
      <w:pgMar w:left="1701" w:right="894" w:gutter="0" w:header="0" w:top="1134" w:footer="1134" w:bottom="183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0" w:hanging="0"/>
      <w:jc w:val="left"/>
      <w:rPr>
        <w:sz w:val="18"/>
        <w:szCs w:val="18"/>
      </w:rPr>
    </w:pPr>
    <w:r>
      <w:rPr>
        <w:sz w:val="18"/>
        <w:szCs w:val="18"/>
        <w:lang w:val="ru-RU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qFormat/>
    <w:pPr>
      <w:keepNext w:val="true"/>
      <w:keepLines/>
      <w:suppressAutoHyphens w:val="false"/>
      <w:spacing w:lineRule="atLeast" w:line="240" w:before="200" w:after="0"/>
      <w:ind w:left="0" w:right="0" w:firstLine="709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9">
    <w:name w:val="Heading 9"/>
    <w:basedOn w:val="Normal"/>
    <w:next w:val="Style14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Title"/>
    <w:basedOn w:val="Normal"/>
    <w:qFormat/>
    <w:pPr>
      <w:jc w:val="center"/>
    </w:pPr>
    <w:rPr>
      <w:b/>
      <w:sz w:val="2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09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Колонтитул"/>
    <w:basedOn w:val="Normal"/>
    <w:qFormat/>
    <w:pPr>
      <w:suppressLineNumbers/>
      <w:tabs>
        <w:tab w:val="clear" w:pos="709"/>
        <w:tab w:val="center" w:pos="4822" w:leader="none"/>
        <w:tab w:val="right" w:pos="9645" w:leader="none"/>
      </w:tabs>
    </w:pPr>
    <w:rPr/>
  </w:style>
  <w:style w:type="paragraph" w:styleId="Style21">
    <w:name w:val="Footer"/>
    <w:basedOn w:val="Style20"/>
    <w:pPr>
      <w:suppressLineNumbers/>
    </w:pPr>
    <w:rPr/>
  </w:style>
  <w:style w:type="paragraph" w:styleId="Style22">
    <w:name w:val="Body Text Indent"/>
    <w:basedOn w:val="Normal"/>
    <w:pPr>
      <w:widowControl w:val="false"/>
      <w:ind w:firstLine="30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</TotalTime>
  <Application>LibreOffice/7.2.5.2$Windows_X86_64 LibreOffice_project/499f9727c189e6ef3471021d6132d4c694f357e5</Application>
  <AppVersion>15.0000</AppVersion>
  <Pages>3</Pages>
  <Words>411</Words>
  <Characters>3299</Characters>
  <CharactersWithSpaces>4086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2026-02-06T12:36:42Z</cp:lastPrinted>
  <dcterms:modified xsi:type="dcterms:W3CDTF">2026-02-12T14:54:23Z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