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before="0" w:after="142"/>
        <w:ind w:left="5387" w:hanging="0"/>
        <w:contextualSpacing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  <w:t>Приложение</w:t>
      </w:r>
    </w:p>
    <w:p>
      <w:pPr>
        <w:pStyle w:val="Style18"/>
        <w:spacing w:before="0" w:after="142"/>
        <w:ind w:left="5387" w:hanging="0"/>
        <w:contextualSpacing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  <w:t>к постановлению администрации городского округа города Калуги</w:t>
      </w:r>
    </w:p>
    <w:p>
      <w:pPr>
        <w:pStyle w:val="Style18"/>
        <w:spacing w:before="0" w:after="142"/>
        <w:ind w:left="5387" w:hanging="0"/>
        <w:contextualSpacing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от </w:t>
      </w:r>
      <w:r>
        <w:rPr>
          <w:rFonts w:eastAsia="Times New Roman" w:cs="Times New Roman"/>
          <w:bCs/>
          <w:lang w:val="ru-RU"/>
        </w:rPr>
        <w:t>17.12.2025</w:t>
      </w:r>
      <w:r>
        <w:rPr>
          <w:rFonts w:eastAsia="Times New Roman" w:cs="Times New Roman"/>
          <w:bCs/>
          <w:lang w:val="ru-RU"/>
        </w:rPr>
        <w:t xml:space="preserve"> № </w:t>
      </w:r>
      <w:r>
        <w:rPr>
          <w:rFonts w:eastAsia="Times New Roman" w:cs="Times New Roman"/>
          <w:bCs/>
          <w:lang w:val="ru-RU"/>
        </w:rPr>
        <w:t>549-п</w:t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города Калуги Калужской области на 2026 год</w:t>
      </w:r>
    </w:p>
    <w:p>
      <w:pPr>
        <w:pStyle w:val="Default"/>
        <w:ind w:firstLine="709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Default"/>
        <w:ind w:firstLine="709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Spacing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2026 год</w:t>
      </w:r>
    </w:p>
    <w:p>
      <w:pPr>
        <w:pStyle w:val="Normal"/>
        <w:ind w:firstLine="709"/>
        <w:jc w:val="both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1.1. Настоящая программа разработана в соответствии со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- Федеральный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>
      <w:pPr>
        <w:pStyle w:val="Normal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1.2. В целях предупреждения нарушений обязательных требований Правил благоустройства территорий муниципального образования «Город Калуга», утвержденных решением Городской Думы города Калуги от 29.06.2022 № 149 (далее - Правила благоустройства),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2">
        <w:r>
          <w:rPr>
            <w:rFonts w:eastAsia="Times New Roman" w:cs="Times New Roman"/>
            <w:color w:val="000000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>1.3. Муниципальный контроль в сфере благоустройства осуществляется администрацией городского округа города Калуги</w:t>
      </w:r>
      <w:r>
        <w:rPr>
          <w:rFonts w:cs="Times New Roman"/>
          <w:color w:val="000000"/>
          <w:lang w:val="ru-RU"/>
        </w:rPr>
        <w:t xml:space="preserve"> в лице функционального органа</w:t>
      </w:r>
      <w:r>
        <w:rPr>
          <w:lang w:val="ru-RU"/>
        </w:rPr>
        <w:t xml:space="preserve"> - управления городского хозяйства города Калуги.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 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>1.5. В 2025 году в отношении контролируемых лиц проводились исключительно контрольные (надзорные) мероприятия без взаимодействия, по итогам которых выдавались предписания об устранении нарушений обязательных требований Правил благоустройства. Юридическим лицом и двумя физическими лицами в установленные предписаниями сроки допущенные нарушения не были устранены. По данному факту было возбуждено три дела об административном правонарушении, материалы направлены по подведомственности в суд для рассмотрения.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и уборка прилегающих территорий, в том числе в зимний период;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порядка производства земляных работ;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требований по размещению и содержанию информационных конструкций.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1.7. </w:t>
      </w:r>
      <w:r>
        <w:rPr>
          <w:rFonts w:eastAsia="Times New Roman" w:cs="Times New Roman"/>
          <w:bCs/>
          <w:color w:val="000000"/>
          <w:lang w:val="ru-RU" w:eastAsia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(надзорных) мероприятий.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Style14"/>
          <w:rFonts w:cs="Times New Roman"/>
          <w:bCs/>
          <w:color w:val="auto"/>
          <w:lang w:val="ru-RU"/>
        </w:rPr>
        <w:t xml:space="preserve">2. Цели и задачи реализации программы профилактики рисков </w:t>
      </w:r>
    </w:p>
    <w:p>
      <w:pPr>
        <w:pStyle w:val="Normal"/>
        <w:ind w:firstLine="709"/>
        <w:jc w:val="center"/>
        <w:rPr>
          <w:lang w:val="ru-RU"/>
        </w:rPr>
      </w:pPr>
      <w:r>
        <w:rPr>
          <w:rStyle w:val="Style14"/>
          <w:rFonts w:cs="Times New Roman"/>
          <w:bCs/>
          <w:color w:val="auto"/>
          <w:lang w:val="ru-RU"/>
        </w:rPr>
        <w:t>причинения вреда (ущерба) охраняемым законом ценностям на 2026 год</w:t>
      </w:r>
    </w:p>
    <w:p>
      <w:pPr>
        <w:pStyle w:val="Normal"/>
        <w:spacing w:before="0" w:after="0"/>
        <w:ind w:firstLine="709"/>
        <w:contextualSpacing/>
        <w:jc w:val="center"/>
        <w:rPr>
          <w:rFonts w:cs="Times New Roman"/>
          <w:highlight w:val="yellow"/>
          <w:lang w:val="ru-RU"/>
        </w:rPr>
      </w:pPr>
      <w:r>
        <w:rPr>
          <w:rFonts w:cs="Times New Roman"/>
          <w:highlight w:val="yellow"/>
          <w:lang w:val="ru-RU"/>
        </w:rPr>
      </w:r>
    </w:p>
    <w:p>
      <w:pPr>
        <w:pStyle w:val="31"/>
        <w:spacing w:before="0" w:after="0"/>
        <w:ind w:firstLine="709"/>
        <w:rPr>
          <w:color w:val="auto"/>
          <w:lang w:val="ru-RU"/>
        </w:rPr>
      </w:pPr>
      <w:r>
        <w:rPr>
          <w:rFonts w:cs="Times New Roman" w:ascii="Times New Roman" w:hAnsi="Times New Roman"/>
          <w:b w:val="false"/>
          <w:color w:val="auto"/>
          <w:lang w:val="ru-RU"/>
        </w:rPr>
        <w:t>2.1. Целями реализации программы профилактики являются</w:t>
      </w:r>
      <w:r>
        <w:rPr>
          <w:rFonts w:cs="Times New Roman" w:ascii="Times New Roman" w:hAnsi="Times New Roman"/>
          <w:color w:val="auto"/>
          <w:lang w:val="ru-RU"/>
        </w:rPr>
        <w:t xml:space="preserve">: </w:t>
      </w:r>
    </w:p>
    <w:p>
      <w:pPr>
        <w:pStyle w:val="Normal"/>
        <w:ind w:firstLine="709"/>
        <w:jc w:val="both"/>
        <w:rPr>
          <w:lang w:val="ru-RU"/>
        </w:rPr>
      </w:pPr>
      <w:r>
        <w:rPr>
          <w:bCs/>
          <w:lang w:val="ru-RU"/>
        </w:rPr>
        <w:t>- с</w:t>
      </w:r>
      <w:r>
        <w:rPr>
          <w:lang w:val="ru-RU"/>
        </w:rPr>
        <w:t>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709"/>
        <w:contextualSpacing/>
        <w:rPr>
          <w:lang w:val="ru-RU"/>
        </w:rPr>
      </w:pPr>
      <w:r>
        <w:rPr>
          <w:rStyle w:val="Style14"/>
          <w:rFonts w:cs="Times New Roman"/>
          <w:b w:val="false"/>
          <w:bCs/>
          <w:color w:val="auto"/>
          <w:lang w:val="ru-RU"/>
        </w:rPr>
        <w:t>2.2. Задачами реализации программы профилактики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 либо причинения вреда жизни и здоровью граждан, выработка и реализация профилактических мер, способствующих ее снижению;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widowControl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  <w:r>
        <w:br w:type="page"/>
      </w:r>
    </w:p>
    <w:p>
      <w:pPr>
        <w:pStyle w:val="Normal"/>
        <w:spacing w:before="0" w:after="0"/>
        <w:ind w:firstLine="709"/>
        <w:contextualSpacing/>
        <w:jc w:val="center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>
      <w:pPr>
        <w:pStyle w:val="Pt000002"/>
        <w:spacing w:before="0" w:after="0"/>
        <w:ind w:firstLine="709"/>
        <w:jc w:val="both"/>
        <w:rPr>
          <w:rStyle w:val="Pta0000004"/>
          <w:lang w:val="ru-RU"/>
        </w:rPr>
      </w:pPr>
      <w:r>
        <w:rPr>
          <w:lang w:val="ru-RU"/>
        </w:rPr>
      </w:r>
    </w:p>
    <w:tbl>
      <w:tblPr>
        <w:tblW w:w="941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3"/>
        <w:gridCol w:w="3944"/>
        <w:gridCol w:w="2263"/>
        <w:gridCol w:w="2612"/>
      </w:tblGrid>
      <w:tr>
        <w:trPr/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№</w:t>
            </w:r>
          </w:p>
          <w:p>
            <w:pPr>
              <w:pStyle w:val="Style22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п/п</w:t>
            </w: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Срок исполнения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>
        <w:trPr>
          <w:trHeight w:val="328" w:hRule="atLeast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</w:t>
            </w:r>
          </w:p>
        </w:tc>
      </w:tr>
      <w:tr>
        <w:trPr/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ru-RU"/>
              </w:rPr>
            </w:pPr>
            <w:r>
              <w:rPr>
                <w:iCs/>
                <w:lang w:val="ru-RU"/>
              </w:rPr>
              <w:t xml:space="preserve">Информирование: размещение информации по вопросам </w:t>
            </w:r>
            <w:r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администрации городского округа города Калуги в информационно-телекоммуникационной сети Интернет (далее – официальный сайт)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администрации городского округа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3">
              <w:r>
                <w:rPr>
                  <w:rFonts w:cs="Times New Roman"/>
                  <w:iCs/>
                  <w:color w:val="000000"/>
                  <w:lang w:val="ru-RU"/>
                </w:rPr>
                <w:t>част</w:t>
              </w:r>
            </w:hyperlink>
            <w:hyperlink r:id="rId4">
              <w:r>
                <w:rPr>
                  <w:rFonts w:cs="Times New Roman"/>
                  <w:iCs/>
                  <w:color w:val="000000"/>
                  <w:lang w:val="ru-RU"/>
                </w:rPr>
                <w:t>и</w:t>
              </w:r>
            </w:hyperlink>
            <w:hyperlink r:id="rId5">
              <w:r>
                <w:rPr>
                  <w:rFonts w:cs="Times New Roman"/>
                  <w:iCs/>
                  <w:color w:val="000000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lang w:val="ru-RU"/>
              </w:rPr>
              <w:t>Федерального закона</w:t>
            </w:r>
          </w:p>
          <w:p>
            <w:pPr>
              <w:pStyle w:val="Normal"/>
              <w:widowControl w:val="false"/>
              <w:rPr>
                <w:rFonts w:cs="Times New Roman"/>
                <w:lang w:val="ru-RU"/>
              </w:rPr>
            </w:pPr>
            <w:r>
              <w:rPr>
                <w:rFonts w:cs="Times New Roman"/>
                <w:iCs/>
                <w:color w:val="000000"/>
                <w:lang w:val="ru-RU"/>
              </w:rPr>
              <w:t xml:space="preserve">№ </w:t>
            </w:r>
            <w:r>
              <w:rPr>
                <w:rFonts w:cs="Times New Roman"/>
                <w:iCs/>
                <w:color w:val="000000"/>
                <w:lang w:val="ru-RU"/>
              </w:rPr>
              <w:t>248-ФЗ.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По мере необходимости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>
        <w:trPr/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Консультирование: разъяснение по организации и осуществлению муниципального контроля в сфере благоустройства в устной форме по телефону, на личном приеме, в ходе проведения профилактических мероприятий либо письменной форме по обращениям  контролируемых лиц или их представителей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>
        <w:trPr/>
        <w:tc>
          <w:tcPr>
            <w:tcW w:w="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</w:t>
            </w:r>
          </w:p>
        </w:tc>
        <w:tc>
          <w:tcPr>
            <w:tcW w:w="39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Объявление предостережения о недопустимости нарушения обязательных требований: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 и уведомить об этом уполномоченный орган в установленный в таком предостережении срок.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31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  <w:t>Раздел 4. Показатели результативности и эффективности программы профилактики</w:t>
      </w:r>
    </w:p>
    <w:p>
      <w:pPr>
        <w:pStyle w:val="31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</w:r>
    </w:p>
    <w:tbl>
      <w:tblPr>
        <w:tblW w:w="935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69"/>
        <w:gridCol w:w="2580"/>
      </w:tblGrid>
      <w:tr>
        <w:trPr/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ind w:firstLine="709"/>
              <w:contextualSpacing/>
              <w:jc w:val="center"/>
              <w:rPr>
                <w:rFonts w:ascii="Times New Roman" w:hAnsi="Times New Roman" w:cs="Tahoma"/>
                <w:lang w:val="ru-RU" w:eastAsia="en-US"/>
              </w:rPr>
            </w:pPr>
            <w:r>
              <w:rPr>
                <w:rFonts w:cs="Tahoma" w:ascii="Times New Roman" w:hAnsi="Times New Roman"/>
                <w:lang w:val="ru-RU" w:eastAsia="en-US"/>
              </w:rPr>
              <w:t>Наименование показателя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rPr>
                <w:rFonts w:ascii="Times New Roman" w:hAnsi="Times New Roman" w:cs="Tahoma"/>
                <w:lang w:val="ru-RU" w:eastAsia="en-US"/>
              </w:rPr>
            </w:pPr>
            <w:r>
              <w:rPr>
                <w:rFonts w:cs="Tahoma" w:ascii="Times New Roman" w:hAnsi="Times New Roman"/>
                <w:lang w:val="ru-RU" w:eastAsia="en-US"/>
              </w:rPr>
              <w:t>Значение показателя</w:t>
            </w:r>
          </w:p>
        </w:tc>
      </w:tr>
      <w:tr>
        <w:trPr/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ind w:firstLine="709"/>
              <w:contextualSpacing/>
              <w:jc w:val="center"/>
              <w:rPr>
                <w:rFonts w:ascii="Times New Roman" w:hAnsi="Times New Roman" w:cs="Tahoma"/>
                <w:lang w:val="ru-RU" w:eastAsia="en-US"/>
              </w:rPr>
            </w:pPr>
            <w:r>
              <w:rPr>
                <w:rFonts w:cs="Tahoma" w:ascii="Times New Roman" w:hAnsi="Times New Roman"/>
                <w:lang w:val="ru-RU" w:eastAsia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2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</w:tr>
      <w:tr>
        <w:trPr/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Полнота информации, размещенной на официальном сайте администрации городского округа города Калуги в сети Интернет в соответствии с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6">
              <w:r>
                <w:rPr>
                  <w:lang w:val="ru-RU"/>
                </w:rPr>
                <w:t>части 3 статьи 46</w:t>
              </w:r>
            </w:hyperlink>
            <w:r>
              <w:rPr>
                <w:lang w:val="ru-RU"/>
              </w:rPr>
              <w:t xml:space="preserve"> Федерального закона № 248-ФЗ.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  <w:tr>
        <w:trPr/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лиц, получивших консультации по разъяснению обязательных требований от общего количества обратившихся за консультацией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/>
              </w:rPr>
              <w:t>100</w:t>
            </w:r>
            <w:r>
              <w:rPr/>
              <w:t xml:space="preserve"> %</w:t>
            </w:r>
          </w:p>
        </w:tc>
      </w:tr>
      <w:tr>
        <w:trPr/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0 %</w:t>
            </w:r>
          </w:p>
        </w:tc>
      </w:tr>
      <w:tr>
        <w:trPr/>
        <w:tc>
          <w:tcPr>
            <w:tcW w:w="67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</w:tc>
        <w:tc>
          <w:tcPr>
            <w:tcW w:w="25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</w:tbl>
    <w:p>
      <w:pPr>
        <w:pStyle w:val="Normal"/>
        <w:spacing w:before="0" w:after="0"/>
        <w:ind w:firstLine="709"/>
        <w:contextualSpacing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Реализация программы профилактики осуществляется путем исполнения организационных и профилактических мероприятий при осуществлении муниципального контроля в сфере благоустройства на территории городского округа города Калуги Калужской области в 2026 году.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городского округа города Калуги Калужской области.</w:t>
      </w:r>
    </w:p>
    <w:sectPr>
      <w:headerReference w:type="default" r:id="rId7"/>
      <w:type w:val="nextPage"/>
      <w:pgSz w:w="11906" w:h="16838"/>
      <w:pgMar w:left="1701" w:right="709" w:gutter="0" w:header="567" w:top="1298" w:footer="0" w:bottom="1247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>
        <w:shd w:fill="FFFFFF" w:val="clear"/>
      </w:rPr>
    </w:pPr>
    <w:r>
      <w:rPr>
        <w:shd w:fill="FFFFFF" w:val="clear"/>
      </w:rPr>
      <w:fldChar w:fldCharType="begin"/>
    </w:r>
    <w:r>
      <w:rPr>
        <w:shd w:fill="FFFFFF" w:val="clear"/>
      </w:rPr>
      <w:instrText xml:space="preserve"> PAGE </w:instrText>
    </w:r>
    <w:r>
      <w:rPr>
        <w:shd w:fill="FFFFFF" w:val="clear"/>
      </w:rPr>
      <w:fldChar w:fldCharType="separate"/>
    </w:r>
    <w:r>
      <w:rPr>
        <w:shd w:fill="FFFFFF" w:val="clear"/>
      </w:rPr>
      <w:t>5</w:t>
    </w:r>
    <w:r>
      <w:rPr>
        <w:shd w:fill="FFFFFF" w:val="clear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35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qFormat/>
    <w:rsid w:val="00e83533"/>
    <w:rPr>
      <w:b/>
      <w:color w:val="26282F"/>
    </w:rPr>
  </w:style>
  <w:style w:type="character" w:styleId="Pta0000004" w:customStyle="1">
    <w:name w:val="pt-a0-000004"/>
    <w:basedOn w:val="DefaultParagraphFont"/>
    <w:qFormat/>
    <w:rsid w:val="00e83533"/>
    <w:rPr/>
  </w:style>
  <w:style w:type="character" w:styleId="Pt000006" w:customStyle="1">
    <w:name w:val="pt-000006"/>
    <w:basedOn w:val="DefaultParagraphFont"/>
    <w:qFormat/>
    <w:rsid w:val="00e83533"/>
    <w:rPr/>
  </w:style>
  <w:style w:type="character" w:styleId="1" w:customStyle="1">
    <w:name w:val="Гиперссылка1"/>
    <w:basedOn w:val="DefaultParagraphFont"/>
    <w:qFormat/>
    <w:rsid w:val="00e83533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b25fa"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e83533"/>
    <w:pPr>
      <w:spacing w:before="0" w:after="120"/>
    </w:pPr>
    <w:rPr/>
  </w:style>
  <w:style w:type="paragraph" w:styleId="Style19">
    <w:name w:val="List"/>
    <w:basedOn w:val="Style18"/>
    <w:rsid w:val="00e83533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31" w:customStyle="1">
    <w:name w:val="Заголовок 31"/>
    <w:basedOn w:val="Normal"/>
    <w:qFormat/>
    <w:rsid w:val="00e83533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11" w:customStyle="1">
    <w:name w:val="Заголовок1"/>
    <w:basedOn w:val="Normal"/>
    <w:next w:val="Style18"/>
    <w:qFormat/>
    <w:rsid w:val="00e83533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12" w:customStyle="1">
    <w:name w:val="Название объекта1"/>
    <w:basedOn w:val="Normal"/>
    <w:qFormat/>
    <w:rsid w:val="00e83533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e83533"/>
    <w:pPr>
      <w:suppressLineNumbers/>
    </w:pPr>
    <w:rPr/>
  </w:style>
  <w:style w:type="paragraph" w:styleId="NoSpacing">
    <w:name w:val="No Spacing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Default" w:customStyle="1">
    <w:name w:val="Default"/>
    <w:qFormat/>
    <w:rsid w:val="00e83533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000000"/>
      <w:kern w:val="2"/>
      <w:sz w:val="24"/>
      <w:szCs w:val="24"/>
      <w:lang w:eastAsia="ru-RU" w:val="en-US" w:bidi="en-US"/>
    </w:rPr>
  </w:style>
  <w:style w:type="paragraph" w:styleId="ListParagraph">
    <w:name w:val="List Paragraph"/>
    <w:basedOn w:val="Normal"/>
    <w:qFormat/>
    <w:rsid w:val="00e83533"/>
    <w:pPr>
      <w:spacing w:before="0" w:after="200"/>
      <w:ind w:left="720" w:hanging="0"/>
      <w:contextualSpacing/>
    </w:pPr>
    <w:rPr/>
  </w:style>
  <w:style w:type="paragraph" w:styleId="Pt000002" w:customStyle="1">
    <w:name w:val="pt-000002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Pt000005" w:customStyle="1">
    <w:name w:val="pt-000005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Style22" w:customStyle="1">
    <w:name w:val="Нормальный (таблица)"/>
    <w:basedOn w:val="Normal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styleId="Style23" w:customStyle="1">
    <w:name w:val="Прижатый влево"/>
    <w:basedOn w:val="Normal"/>
    <w:qFormat/>
    <w:rsid w:val="00e83533"/>
    <w:pPr/>
    <w:rPr>
      <w:rFonts w:ascii="Times New Roman CYR" w:hAnsi="Times New Roman CYR" w:cs="Times New Roman CYR"/>
      <w:lang w:eastAsia="ru-RU"/>
    </w:rPr>
  </w:style>
  <w:style w:type="paragraph" w:styleId="Style24" w:customStyle="1">
    <w:name w:val="Содержимое таблицы"/>
    <w:basedOn w:val="Normal"/>
    <w:qFormat/>
    <w:rsid w:val="00e83533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e83533"/>
    <w:pPr>
      <w:jc w:val="center"/>
    </w:pPr>
    <w:rPr>
      <w:b/>
      <w:bCs/>
    </w:rPr>
  </w:style>
  <w:style w:type="paragraph" w:styleId="Formattexttopleveltext" w:customStyle="1">
    <w:name w:val="formattext topleveltext"/>
    <w:basedOn w:val="Normal"/>
    <w:qFormat/>
    <w:rsid w:val="00e83533"/>
    <w:pPr>
      <w:spacing w:before="280" w:after="280"/>
    </w:pPr>
    <w:rPr/>
  </w:style>
  <w:style w:type="paragraph" w:styleId="Style26" w:customStyle="1">
    <w:name w:val="Колонтитул"/>
    <w:basedOn w:val="Normal"/>
    <w:qFormat/>
    <w:pPr>
      <w:suppressLineNumbers/>
      <w:tabs>
        <w:tab w:val="clear" w:pos="706"/>
        <w:tab w:val="center" w:pos="4748" w:leader="none"/>
        <w:tab w:val="right" w:pos="9496" w:leader="none"/>
      </w:tabs>
    </w:pPr>
    <w:rPr/>
  </w:style>
  <w:style w:type="paragraph" w:styleId="Style27">
    <w:name w:val="Header"/>
    <w:basedOn w:val="Style26"/>
    <w:pPr/>
    <w:rPr/>
  </w:style>
  <w:style w:type="paragraph" w:styleId="Style28">
    <w:name w:val="Body Text Indent"/>
    <w:basedOn w:val="Style18"/>
    <w:qFormat/>
    <w:pPr>
      <w:ind w:left="283" w:hanging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Style29">
    <w:name w:val="Footer"/>
    <w:basedOn w:val="Normal"/>
    <w:link w:val="Style15"/>
    <w:uiPriority w:val="99"/>
    <w:unhideWhenUsed/>
    <w:rsid w:val="00db25fa"/>
    <w:pPr>
      <w:tabs>
        <w:tab w:val="clear" w:pos="706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6043E63D4E8E8182C1CA3C171604486EE082EB301E3B3A56A108A037D756F050B6F5B6774028A82D5108253F1hF58H" TargetMode="External"/><Relationship Id="rId3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0557-DFCD-4E75-B25D-CC16B385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LibreOffice/7.3.4.2$Windows_X86_64 LibreOffice_project/728fec16bd5f605073805c3c9e7c4212a0120dc5</Application>
  <AppVersion>15.0000</AppVersion>
  <Pages>5</Pages>
  <Words>1184</Words>
  <Characters>8884</Characters>
  <CharactersWithSpaces>10002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2025-12-15T11:48:00Z</dcterms:created>
  <dc:creator>Тимофеев Сергей Владимирович</dc:creator>
  <dc:description/>
  <dc:language>ru-RU</dc:language>
  <cp:lastModifiedBy/>
  <dcterms:modified xsi:type="dcterms:W3CDTF">2025-12-18T10:07:34Z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