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left="851" w:hanging="851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lang w:val="ru-RU"/>
        </w:rPr>
        <w:t>УТВЕРЖДАЮ:</w:t>
      </w:r>
    </w:p>
    <w:p>
      <w:pPr>
        <w:pStyle w:val="Normal"/>
        <w:widowControl w:val="false"/>
        <w:ind w:left="6350" w:hanging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Начальник управления социальной защиты города Калуги</w:t>
      </w:r>
    </w:p>
    <w:p>
      <w:pPr>
        <w:pStyle w:val="Normal"/>
        <w:widowControl w:val="false"/>
        <w:ind w:left="6350" w:hanging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lang w:val="ru-RU"/>
        </w:rPr>
        <w:t>_____________ Л.В. Бабай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widowControl w:val="false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lang w:val="ru-RU"/>
        </w:rPr>
        <w:t>«___» января 2026 г.</w:t>
      </w:r>
    </w:p>
    <w:p>
      <w:pPr>
        <w:pStyle w:val="Normal"/>
        <w:widowControl w:val="false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                        </w:t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ДОКЛАД</w:t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 xml:space="preserve">об антимонопольном комплаенсе в управлении </w:t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социальной защиты города Калуги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ab/>
      </w:r>
    </w:p>
    <w:p>
      <w:pPr>
        <w:pStyle w:val="Normal"/>
        <w:spacing w:lineRule="auto" w:line="360"/>
        <w:ind w:firstLine="709"/>
        <w:jc w:val="both"/>
        <w:rPr>
          <w:color w:val="000000"/>
          <w:lang w:val="ru-RU"/>
        </w:rPr>
      </w:pPr>
      <w:r>
        <w:rPr>
          <w:rFonts w:cs="Times New Roman" w:ascii="Times New Roman" w:hAnsi="Times New Roman"/>
          <w:lang w:val="ru-RU"/>
        </w:rPr>
        <w:t>1. Приказом управления социальной защиты города Калуги (далее – Управление) от «19» января 2026 г. № 2-од</w:t>
      </w:r>
      <w:bookmarkStart w:id="0" w:name="_GoBack"/>
      <w:bookmarkEnd w:id="0"/>
      <w:r>
        <w:rPr>
          <w:rFonts w:cs="Times New Roman" w:ascii="Times New Roman" w:hAnsi="Times New Roman"/>
          <w:lang w:val="ru-RU"/>
        </w:rPr>
        <w:t xml:space="preserve"> утверждена </w:t>
      </w:r>
      <w:r>
        <w:rPr>
          <w:color w:val="000000"/>
          <w:lang w:val="ru-RU"/>
        </w:rPr>
        <w:t>антимонопольная политика Управления, разработанная для организации системы внутреннего обеспечения соответствия требованиям антимонопольного законодательства (далее – Антимонопольный комплаенс).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Приказом Управления обязанности по организации и функционированию антимонопольного комплаенса, внедрению мер по соблюдению антимонопольного законодательства в У</w:t>
      </w:r>
      <w:r>
        <w:rPr>
          <w:rFonts w:eastAsia="Times New Roman" w:cs="Times New Roman" w:ascii="Times New Roman" w:hAnsi="Times New Roman"/>
          <w:color w:val="00000A"/>
          <w:lang w:val="ru-RU" w:eastAsia="ru-RU" w:bidi="ar-SA"/>
        </w:rPr>
        <w:t xml:space="preserve">правлении, </w:t>
      </w:r>
      <w:r>
        <w:rPr>
          <w:rFonts w:cs="Times New Roman" w:ascii="Times New Roman" w:hAnsi="Times New Roman"/>
          <w:lang w:val="ru-RU"/>
        </w:rPr>
        <w:t>их совершенствованию, выявлению и предотвращение нарушений в данной сфере возложены на главного специалиста организационно-контрольного отдела Управления Ломаеву И.М. (далее – ответственное подразделение).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В соответствии с принципом информационной открытости информация об антимонопольной политики Управлени размещена на сайте управления.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textAlignment w:val="baseline"/>
        <w:rPr>
          <w:color w:val="000000"/>
        </w:rPr>
      </w:pPr>
      <w:r>
        <w:rPr/>
        <w:t xml:space="preserve">2. С целью выявления рисков нарушений антимонопольного законодательства в Управлении за предыдущие 3 года </w:t>
      </w:r>
      <w:r>
        <w:rPr>
          <w:color w:val="000000"/>
        </w:rPr>
        <w:t>ответственным подразделением были проведены: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а) анализ выявленных нарушений антимонопольного законодательства в деятельности Управлении за предыдущие 3 года (наличие предостережений, предупреждений, штрафов, жалоб, возбужденных дел);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б) мониторинг и анализ практики применения Управлением антимонопольного законодательства;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г)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>
      <w:pPr>
        <w:pStyle w:val="Normal"/>
        <w:spacing w:lineRule="auto" w:line="360"/>
        <w:ind w:firstLine="709"/>
        <w:jc w:val="both"/>
        <w:rPr>
          <w:lang w:val="ru-RU"/>
        </w:rPr>
      </w:pPr>
      <w:r>
        <w:rPr>
          <w:lang w:val="ru-RU"/>
        </w:rPr>
        <w:t>По проведенной оценке рисков нарушения антимонопольного законодательства ответственным подразделением составлено описание рисков Приложение к докладу.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Значение КПЭ составило  «0,1».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Нарушений антимонопольного законодательства </w:t>
      </w:r>
      <w:r>
        <w:rPr>
          <w:rFonts w:cs="Times New Roman" w:ascii="Times New Roman" w:hAnsi="Times New Roman"/>
          <w:u w:val="single"/>
          <w:lang w:val="ru-RU"/>
        </w:rPr>
        <w:t>не выявлено</w:t>
      </w:r>
      <w:r>
        <w:rPr>
          <w:rFonts w:cs="Times New Roman" w:ascii="Times New Roman" w:hAnsi="Times New Roman"/>
          <w:lang w:val="ru-RU"/>
        </w:rPr>
        <w:t>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3. </w:t>
      </w:r>
      <w:r>
        <w:rPr>
          <w:rFonts w:cs="Times New Roman" w:ascii="Times New Roman" w:hAnsi="Times New Roman"/>
          <w:color w:val="000000"/>
          <w:lang w:val="ru-RU"/>
        </w:rPr>
        <w:t>Надлежащее исполнение требований антимонопольного законодательства Российской Федерации и недопущение неправомерных действий являются приоритетами деятельности Управления. Управление принимает все возможные меры для предотвращения неправомерных действий со стороны своих сотрудников.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cs="Times New Roman" w:ascii="Times New Roman" w:hAnsi="Times New Roman"/>
          <w:lang w:val="ru-RU"/>
        </w:rPr>
        <w:t>4. Рекомендации.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ab/>
        <w:t>При формировании перечня 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С целью разъяснения и реализации антимонопольного комплаенса в Управлении в части формирования у сотрудников необходимых знаний и навыков соблюдения положений антимонопольного законодательства ответственному подразделению провести обучающие семинары, презентационные мероприятия по антимонопольному комплаенсу.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/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/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/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/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/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/>
      </w:r>
    </w:p>
    <w:p>
      <w:pPr>
        <w:sectPr>
          <w:type w:val="nextPage"/>
          <w:pgSz w:w="12240" w:h="15840"/>
          <w:pgMar w:left="1701" w:right="89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/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ab/>
        <w:t xml:space="preserve">Приложение к докладу </w:t>
      </w:r>
    </w:p>
    <w:p>
      <w:pPr>
        <w:pStyle w:val="Normal"/>
        <w:jc w:val="right"/>
        <w:rPr/>
      </w:pPr>
      <w:r>
        <w:rPr/>
        <w:t>об антимонопольном комплаенсе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right"/>
        <w:rPr/>
      </w:pPr>
      <w:r>
        <w:rPr>
          <w:rFonts w:cs="Times New Roman" w:ascii="Times New Roman" w:hAnsi="Times New Roman"/>
          <w:lang w:val="ru-RU"/>
        </w:rPr>
        <w:t>в управлении социальной защиты города Калуги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Описание рисков Управления за 2025 год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462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3405"/>
        <w:gridCol w:w="2655"/>
        <w:gridCol w:w="2280"/>
        <w:gridCol w:w="1755"/>
        <w:gridCol w:w="1695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№ </w:t>
            </w:r>
            <w:r>
              <w:rPr>
                <w:rFonts w:cs="Times New Roman" w:ascii="Times New Roman" w:hAnsi="Times New Roman"/>
                <w:b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Уровень риска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Описание риска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Условия возникновения риска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Причины возникновения риска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Наличие (отсутствие) риска в Управлении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Вероятность повторного возникновения риска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Низкий уровень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/>
            </w:pPr>
            <w:r>
              <w:rPr>
                <w:rFonts w:cs="Times New Roman" w:ascii="Times New Roman" w:hAnsi="Times New Roman"/>
              </w:rPr>
              <w:t>отрицательное влияние на отношение институтов гражданского общества к деятельности Управления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Размещение в пабликах Управления любой рекламной информации, нарушающей антимонопольное законодательство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Недостаточность знаний в области антимонопольного законодательства у сотрудников Управления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низкая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Низкий уровень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отрицательное влияние на отношение институтов гражданского общества к деятельности Управления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>Оценка заявок и выбор победителя</w:t>
            </w:r>
            <w:r>
              <w:rPr/>
              <w:t xml:space="preserve"> при осуществлении закупок у единственного поставщика в соответствии с пунктом 4 части 1 статьи 93 выше указанного закона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/>
              <w:t>через систему «Маркетинговые исследования малых закупок» Калужской области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Не соблюдение норм Закона  № 44 и законодательства РФ в сфере закупок;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низкая</w:t>
            </w:r>
          </w:p>
        </w:tc>
      </w:tr>
      <w:tr>
        <w:trPr>
          <w:trHeight w:val="111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Незначительный уровень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/>
            </w:pPr>
            <w:r>
              <w:rPr>
                <w:rFonts w:cs="Times New Roman" w:ascii="Times New Roman" w:hAnsi="Times New Roman"/>
              </w:rPr>
              <w:t>вероятность выдачи Управлению предупреждения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 xml:space="preserve">Неправильное определение начальной максимальной цены контракта </w:t>
            </w:r>
            <w:r>
              <w:rPr>
                <w:i/>
                <w:color w:val="000000"/>
                <w:shd w:fill="FFFFFF" w:val="clear"/>
              </w:rPr>
              <w:t>или</w:t>
            </w:r>
            <w:r>
              <w:rPr>
                <w:color w:val="000000"/>
                <w:shd w:fill="FFFFFF" w:val="clear"/>
              </w:rPr>
              <w:t xml:space="preserve"> цены контракта при закупках у единственного поставщика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Не соблюдение норм Закона  № 44 и законодательства РФ в сфере закупок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низкая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Незначительный уровень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/>
            </w:pPr>
            <w:r>
              <w:rPr>
                <w:rFonts w:cs="Times New Roman" w:ascii="Times New Roman" w:hAnsi="Times New Roman"/>
              </w:rPr>
              <w:t>вероятность выдачи Управлению предупреждения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 xml:space="preserve">Неправильное обоснование начальной максимальной цены контракта </w:t>
            </w:r>
            <w:r>
              <w:rPr>
                <w:i/>
                <w:color w:val="000000"/>
                <w:shd w:fill="FFFFFF" w:val="clear"/>
              </w:rPr>
              <w:t>или</w:t>
            </w:r>
            <w:r>
              <w:rPr>
                <w:color w:val="000000"/>
                <w:shd w:fill="FFFFFF" w:val="clear"/>
              </w:rPr>
              <w:t xml:space="preserve"> цены контракта при закупках у единственного поставщика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Не соблюдение норм Закона № 44 и законодательства РФ в сфере закупок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низкая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Высокий уровень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вероятность выдачи Управлению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Неверный выбор способа определения поставщика (подрядчика, исполнителя)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Не соблюдение норм Закона № 44 и законодательства РФ в сфере закупок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низкая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right"/>
        <w:rPr/>
      </w:pPr>
      <w:r>
        <w:rPr/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ab/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both"/>
        <w:rPr>
          <w:rFonts w:ascii="Times New Roman" w:hAnsi="Times New Roman" w:cs="Times New Roman"/>
          <w:lang w:val="ru-RU"/>
        </w:rPr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qFormat/>
    <w:pPr>
      <w:keepNext w:val="true"/>
      <w:keepLines/>
      <w:suppressAutoHyphens w:val="false"/>
      <w:spacing w:lineRule="atLeast" w:line="240" w:before="200" w:after="0"/>
      <w:ind w:firstLine="709"/>
      <w:jc w:val="both"/>
      <w:outlineLvl w:val="1"/>
    </w:pPr>
    <w:rPr>
      <w:rFonts w:ascii="Cambria" w:hAnsi="Cambria"/>
      <w:b/>
      <w:bCs/>
      <w:color w:val="4F81BD"/>
      <w:szCs w:val="26"/>
      <w:lang w:eastAsia="ru-RU"/>
    </w:rPr>
  </w:style>
  <w:style w:type="paragraph" w:styleId="9">
    <w:name w:val="Heading 9"/>
    <w:basedOn w:val="Normal"/>
    <w:next w:val="Style14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7">
    <w:name w:val="Title"/>
    <w:basedOn w:val="Normal"/>
    <w:qFormat/>
    <w:pPr>
      <w:jc w:val="center"/>
    </w:pPr>
    <w:rPr>
      <w:b/>
      <w:sz w:val="26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09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18" w:customStyle="1">
    <w:name w:val="Содержимое таблицы"/>
    <w:basedOn w:val="Normal"/>
    <w:qFormat/>
    <w:pPr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a444f"/>
    <w:pPr>
      <w:suppressAutoHyphens w:val="false"/>
      <w:overflowPunct w:val="false"/>
      <w:spacing w:beforeAutospacing="1" w:afterAutospacing="1"/>
    </w:pPr>
    <w:rPr>
      <w:rFonts w:ascii="Times New Roman" w:hAnsi="Times New Roman" w:eastAsia="Times New Roman" w:cs="Times New Roman"/>
      <w:kern w:val="0"/>
      <w:lang w:val="ru-RU" w:eastAsia="ru-RU" w:bidi="ar-SA"/>
    </w:rPr>
  </w:style>
  <w:style w:type="paragraph" w:styleId="Style20">
    <w:name w:val="Нормальный (таблица)"/>
    <w:basedOn w:val="Normal"/>
    <w:next w:val="Normal"/>
    <w:qFormat/>
    <w:pPr>
      <w:widowControl w:val="false"/>
      <w:suppressAutoHyphens w:val="false"/>
      <w:autoSpaceDE w:val="false"/>
      <w:jc w:val="both"/>
    </w:pPr>
    <w:rPr>
      <w:rFonts w:ascii="Arial" w:hAnsi="Arial" w:cs="Arial"/>
    </w:rPr>
  </w:style>
  <w:style w:type="paragraph" w:styleId="Style21">
    <w:name w:val="Прижатый влево"/>
    <w:basedOn w:val="Normal"/>
    <w:next w:val="Normal"/>
    <w:qFormat/>
    <w:pPr>
      <w:widowControl w:val="false"/>
      <w:suppressAutoHyphens w:val="false"/>
      <w:autoSpaceDE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LibreOffice/7.3.4.2$Windows_X86_64 LibreOffice_project/728fec16bd5f605073805c3c9e7c4212a0120dc5</Application>
  <AppVersion>15.0000</AppVersion>
  <Pages>4</Pages>
  <Words>564</Words>
  <Characters>4479</Characters>
  <CharactersWithSpaces>5313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cp:lastPrinted>2024-02-12T10:23:00Z</cp:lastPrinted>
  <dcterms:modified xsi:type="dcterms:W3CDTF">2026-01-26T10:23:34Z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