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header49.xml" ContentType="application/vnd.openxmlformats-officedocument.wordprocessingml.header+xml"/>
  <Override PartName="/word/styles.xml" ContentType="application/vnd.openxmlformats-officedocument.wordprocessingml.styles+xml"/>
  <Override PartName="/word/footer4.xml" ContentType="application/vnd.openxmlformats-officedocument.wordprocessingml.footer+xml"/>
  <Override PartName="/word/footer21.xml" ContentType="application/vnd.openxmlformats-officedocument.wordprocessingml.footer+xml"/>
  <Override PartName="/word/header2.xml" ContentType="application/vnd.openxmlformats-officedocument.wordprocessingml.header+xml"/>
  <Override PartName="/word/media/image28.jpeg" ContentType="image/jpeg"/>
  <Override PartName="/word/media/image1.png" ContentType="image/png"/>
  <Override PartName="/word/media/image2.png" ContentType="image/png"/>
  <Override PartName="/word/media/image17.jpeg" ContentType="image/jpeg"/>
  <Override PartName="/word/media/image3.png" ContentType="image/png"/>
  <Override PartName="/word/media/image4.png" ContentType="image/png"/>
  <Override PartName="/word/media/image6.jpeg" ContentType="image/jpeg"/>
  <Override PartName="/word/media/image5.png" ContentType="image/png"/>
  <Override PartName="/word/media/image7.png" ContentType="image/png"/>
  <Override PartName="/word/media/image8.png" ContentType="image/png"/>
  <Override PartName="/word/media/image9.png" ContentType="image/png"/>
  <Override PartName="/word/media/image51.jpeg" ContentType="image/jpeg"/>
  <Override PartName="/word/media/image10.png" ContentType="image/png"/>
  <Override PartName="/word/media/image29.jpeg" ContentType="image/jpeg"/>
  <Override PartName="/word/media/image11.jpeg" ContentType="image/jpeg"/>
  <Override PartName="/word/media/hdphoto1.wdp" ContentType="image/vnd.ms-photo"/>
  <Override PartName="/word/media/image25.png" ContentType="image/png"/>
  <Override PartName="/word/media/image36.jpeg" ContentType="image/jpeg"/>
  <Override PartName="/word/media/image12.jpeg" ContentType="image/jpeg"/>
  <Override PartName="/word/media/hdphoto2.wdp" ContentType="image/vnd.ms-photo"/>
  <Override PartName="/word/media/image26.png" ContentType="image/png"/>
  <Override PartName="/word/media/image13.jpeg" ContentType="image/jpeg"/>
  <Override PartName="/word/media/image19.png" ContentType="image/png"/>
  <Override PartName="/word/media/hdphoto3.wdp" ContentType="image/vnd.ms-photo"/>
  <Override PartName="/word/media/image14.jpeg" ContentType="image/jpeg"/>
  <Override PartName="/word/media/image15.jpeg" ContentType="image/jpeg"/>
  <Override PartName="/word/media/image16.jpeg" ContentType="image/jpeg"/>
  <Override PartName="/word/media/image18.jpeg" ContentType="image/jpeg"/>
  <Override PartName="/word/media/image20.png" ContentType="image/png"/>
  <Override PartName="/word/media/image40.jpeg" ContentType="image/jpeg"/>
  <Override PartName="/word/media/image21.jpeg" ContentType="image/jpeg"/>
  <Override PartName="/word/media/image54.png" ContentType="image/png"/>
  <Override PartName="/word/media/image22.jpeg" ContentType="image/jpeg"/>
  <Override PartName="/word/media/image23.png" ContentType="image/png"/>
  <Override PartName="/word/media/image24.png" ContentType="image/png"/>
  <Override PartName="/word/media/image27.jpeg" ContentType="image/jpeg"/>
  <Override PartName="/word/media/image47.png" ContentType="image/pn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7.jpeg" ContentType="image/jpeg"/>
  <Override PartName="/word/media/image38.jpeg" ContentType="image/jpeg"/>
  <Override PartName="/word/media/image45.png" ContentType="image/png"/>
  <Override PartName="/word/media/image39.jpeg" ContentType="image/jpeg"/>
  <Override PartName="/word/media/image55.png" ContentType="image/png"/>
  <Override PartName="/word/media/image41.jpeg" ContentType="image/jpeg"/>
  <Override PartName="/word/media/image42.jpeg" ContentType="image/jpeg"/>
  <Override PartName="/word/media/image43.png" ContentType="image/png"/>
  <Override PartName="/word/media/image49.jpeg" ContentType="image/jpeg"/>
  <Override PartName="/word/media/image44.png" ContentType="image/png"/>
  <Override PartName="/word/media/image46.png" ContentType="image/png"/>
  <Override PartName="/word/media/image48.jpeg" ContentType="image/jpeg"/>
  <Override PartName="/word/media/image50.jpeg" ContentType="image/jpeg"/>
  <Override PartName="/word/media/image52.jpeg" ContentType="image/jpeg"/>
  <Override PartName="/word/media/image53.png" ContentType="image/png"/>
  <Override PartName="/word/media/hdphoto4.wdp" ContentType="image/vnd.ms-photo"/>
  <Override PartName="/word/footer16.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20.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footer2.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_rels/chart1.xml.rels" ContentType="application/vnd.openxmlformats-package.relationships+xml"/>
  <Override PartName="/word/charts/_rels/chart3.xml.rels" ContentType="application/vnd.openxmlformats-package.relationships+xml"/>
  <Override PartName="/word/charts/_rels/chart4.xml.rels" ContentType="application/vnd.openxmlformats-package.relationships+xml"/>
  <Override PartName="/word/charts/_rels/chart5.xml.rels" ContentType="application/vnd.openxmlformats-package.relationships+xml"/>
  <Override PartName="/word/charts/_rels/chart6.xml.rels" ContentType="application/vnd.openxmlformats-package.relationships+xml"/>
  <Override PartName="/word/header21.xml" ContentType="application/vnd.openxmlformats-officedocument.wordprocessingml.head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header47.xml" ContentType="application/vnd.openxmlformats-officedocument.wordprocessingml.header+xml"/>
  <Override PartName="/word/footer10.xml" ContentType="application/vnd.openxmlformats-officedocument.wordprocessingml.footer+xml"/>
  <Override PartName="/word/header48.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embeddings/_____Microsoft_Excel.xlsx" ContentType="application/vnd.openxmlformats-officedocument.spreadsheetml.sheet"/>
  <Override PartName="/word/embeddings/_____Microsoft_Excel3.xlsx" ContentType="application/vnd.openxmlformats-officedocument.spreadsheetml.sheet"/>
  <Override PartName="/word/embeddings/_____Microsoft_Excel1.xlsx" ContentType="application/vnd.openxmlformats-officedocument.spreadsheetml.sheet"/>
  <Override PartName="/word/embeddings/_____Microsoft_Excel4.xlsx" ContentType="application/vnd.openxmlformats-officedocument.spreadsheetml.sheet"/>
  <Override PartName="/word/embeddings/_____Microsoft_Excel2.xlsx" ContentType="application/vnd.openxmlformats-officedocument.spreadsheetml.sheet"/>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header20.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6.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numbering.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112"/>
        <w:spacing w:lineRule="auto" w:line="240"/>
        <w:jc w:val="right"/>
        <w:rPr>
          <w:color w:val="auto"/>
          <w:sz w:val="24"/>
          <w:szCs w:val="20"/>
        </w:rPr>
      </w:pPr>
      <w:r>
        <w:rPr/>
      </w:r>
      <w:bookmarkStart w:id="0" w:name="_Toc240099650"/>
      <w:bookmarkStart w:id="1" w:name="_Toc240099466"/>
      <w:bookmarkStart w:id="2" w:name="_Toc222143895"/>
      <w:bookmarkStart w:id="3" w:name="_Toc222143724"/>
      <w:bookmarkStart w:id="4" w:name="_Toc222119549"/>
      <w:bookmarkStart w:id="5" w:name="_Toc222060710"/>
      <w:bookmarkStart w:id="6" w:name="_Toc222057954"/>
      <w:bookmarkStart w:id="7" w:name="_Toc222057814"/>
      <w:bookmarkStart w:id="8" w:name="_Toc222057534"/>
      <w:bookmarkStart w:id="9" w:name="_Toc222055272"/>
      <w:bookmarkStart w:id="10" w:name="_Toc221295012"/>
      <w:bookmarkStart w:id="11" w:name="_Toc221294463"/>
      <w:bookmarkStart w:id="12" w:name="_Toc221294344"/>
      <w:bookmarkStart w:id="13" w:name="_Toc6145702"/>
      <w:bookmarkStart w:id="14" w:name="_Toc240099650"/>
      <w:bookmarkStart w:id="15" w:name="_Toc240099466"/>
      <w:bookmarkStart w:id="16" w:name="_Toc222143895"/>
      <w:bookmarkStart w:id="17" w:name="_Toc222143724"/>
      <w:bookmarkStart w:id="18" w:name="_Toc222119549"/>
      <w:bookmarkStart w:id="19" w:name="_Toc222060710"/>
      <w:bookmarkStart w:id="20" w:name="_Toc222057954"/>
      <w:bookmarkStart w:id="21" w:name="_Toc222057814"/>
      <w:bookmarkStart w:id="22" w:name="_Toc222057534"/>
      <w:bookmarkStart w:id="23" w:name="_Toc222055272"/>
      <w:bookmarkStart w:id="24" w:name="_Toc221295012"/>
      <w:bookmarkStart w:id="25" w:name="_Toc221294463"/>
      <w:bookmarkStart w:id="26" w:name="_Toc221294344"/>
      <w:bookmarkStart w:id="27" w:name="_Toc6145702"/>
      <w:bookmarkEnd w:id="14"/>
      <w:bookmarkEnd w:id="15"/>
      <w:bookmarkEnd w:id="16"/>
      <w:bookmarkEnd w:id="17"/>
      <w:bookmarkEnd w:id="18"/>
      <w:bookmarkEnd w:id="19"/>
      <w:bookmarkEnd w:id="20"/>
      <w:bookmarkEnd w:id="21"/>
      <w:bookmarkEnd w:id="22"/>
      <w:bookmarkEnd w:id="23"/>
      <w:bookmarkEnd w:id="24"/>
      <w:bookmarkEnd w:id="25"/>
      <w:bookmarkEnd w:id="26"/>
      <w:bookmarkEnd w:id="27"/>
    </w:p>
    <w:p>
      <w:pPr>
        <w:pStyle w:val="112"/>
        <w:spacing w:lineRule="auto" w:line="240"/>
        <w:jc w:val="right"/>
        <w:rPr>
          <w:color w:val="auto"/>
          <w:sz w:val="24"/>
          <w:szCs w:val="20"/>
        </w:rPr>
      </w:pPr>
      <w:r>
        <w:rPr>
          <w:color w:val="auto"/>
          <w:sz w:val="24"/>
          <w:szCs w:val="20"/>
        </w:rPr>
      </w:r>
    </w:p>
    <w:p>
      <w:pPr>
        <w:pStyle w:val="112"/>
        <w:spacing w:lineRule="auto" w:line="240"/>
        <w:jc w:val="right"/>
        <w:rPr>
          <w:color w:val="auto"/>
          <w:sz w:val="24"/>
          <w:szCs w:val="20"/>
        </w:rPr>
      </w:pPr>
      <w:r>
        <w:rPr>
          <w:color w:val="auto"/>
          <w:sz w:val="24"/>
          <w:szCs w:val="20"/>
        </w:rPr>
      </w:r>
    </w:p>
    <w:p>
      <w:pPr>
        <w:pStyle w:val="112"/>
        <w:spacing w:lineRule="auto" w:line="240"/>
        <w:jc w:val="right"/>
        <w:rPr>
          <w:color w:val="auto"/>
          <w:sz w:val="24"/>
          <w:szCs w:val="20"/>
        </w:rPr>
      </w:pPr>
      <w:r>
        <w:rPr>
          <w:color w:val="auto"/>
          <w:sz w:val="24"/>
          <w:szCs w:val="20"/>
        </w:rPr>
      </w:r>
    </w:p>
    <w:p>
      <w:pPr>
        <w:pStyle w:val="112"/>
        <w:spacing w:lineRule="auto" w:line="240"/>
        <w:jc w:val="right"/>
        <w:rPr>
          <w:color w:val="auto"/>
          <w:sz w:val="24"/>
          <w:szCs w:val="20"/>
        </w:rPr>
      </w:pPr>
      <w:r>
        <w:rPr>
          <w:color w:val="auto"/>
          <w:sz w:val="24"/>
          <w:szCs w:val="20"/>
        </w:rPr>
      </w:r>
    </w:p>
    <w:p>
      <w:pPr>
        <w:pStyle w:val="112"/>
        <w:spacing w:lineRule="auto" w:line="240"/>
        <w:jc w:val="right"/>
        <w:rPr>
          <w:color w:val="auto"/>
          <w:sz w:val="24"/>
          <w:szCs w:val="20"/>
        </w:rPr>
      </w:pPr>
      <w:r>
        <w:rPr>
          <w:color w:val="auto"/>
          <w:sz w:val="24"/>
          <w:szCs w:val="20"/>
        </w:rPr>
      </w:r>
    </w:p>
    <w:p>
      <w:pPr>
        <w:pStyle w:val="Normal"/>
        <w:rPr>
          <w:kern w:val="2"/>
        </w:rPr>
      </w:pPr>
      <w:r>
        <w:rPr>
          <w:kern w:val="2"/>
        </w:rPr>
      </w:r>
    </w:p>
    <w:p>
      <w:pPr>
        <w:pStyle w:val="Normal"/>
        <w:rPr>
          <w:kern w:val="2"/>
        </w:rPr>
      </w:pPr>
      <w:r>
        <w:rPr>
          <w:kern w:val="2"/>
        </w:rPr>
      </w:r>
    </w:p>
    <w:p>
      <w:pPr>
        <w:pStyle w:val="Normal"/>
        <w:rPr>
          <w:kern w:val="2"/>
        </w:rPr>
      </w:pPr>
      <w:r>
        <w:rPr>
          <w:kern w:val="2"/>
        </w:rPr>
      </w:r>
    </w:p>
    <w:p>
      <w:pPr>
        <w:pStyle w:val="Title"/>
        <w:rPr/>
      </w:pPr>
      <w:r>
        <w:rPr/>
        <w:drawing>
          <wp:inline distT="0" distB="0" distL="0" distR="0">
            <wp:extent cx="2019300" cy="2266950"/>
            <wp:effectExtent l="0" t="0" r="0" b="0"/>
            <wp:docPr id="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descr=""/>
                    <pic:cNvPicPr>
                      <a:picLocks noChangeAspect="1" noChangeArrowheads="1"/>
                    </pic:cNvPicPr>
                  </pic:nvPicPr>
                  <pic:blipFill>
                    <a:blip r:embed="rId2"/>
                    <a:stretch>
                      <a:fillRect/>
                    </a:stretch>
                  </pic:blipFill>
                  <pic:spPr bwMode="auto">
                    <a:xfrm>
                      <a:off x="0" y="0"/>
                      <a:ext cx="2019300" cy="2266950"/>
                    </a:xfrm>
                    <a:prstGeom prst="rect">
                      <a:avLst/>
                    </a:prstGeom>
                    <a:noFill/>
                  </pic:spPr>
                </pic:pic>
              </a:graphicData>
            </a:graphic>
          </wp:inline>
        </w:drawing>
      </w:r>
    </w:p>
    <w:p>
      <w:pPr>
        <w:pStyle w:val="Title"/>
        <w:rPr/>
      </w:pPr>
      <w:r>
        <w:rPr/>
      </w:r>
    </w:p>
    <w:p>
      <w:pPr>
        <w:pStyle w:val="Title"/>
        <w:spacing w:lineRule="auto" w:line="360"/>
        <w:rPr/>
      </w:pPr>
      <w:r>
        <w:rPr/>
        <w:t>Схема теплоснабжения в административных границах муниципального образования «ГОРОД КАЛУГА»                     до 2028 года</w:t>
      </w:r>
    </w:p>
    <w:p>
      <w:pPr>
        <w:pStyle w:val="Normal"/>
        <w:rPr/>
      </w:pPr>
      <w:r>
        <w:rPr/>
      </w:r>
      <w:bookmarkStart w:id="28" w:name="_Toc240099650"/>
      <w:bookmarkStart w:id="29" w:name="_Toc240099466"/>
      <w:bookmarkStart w:id="30" w:name="_Toc222143895"/>
      <w:bookmarkStart w:id="31" w:name="_Toc222143724"/>
      <w:bookmarkStart w:id="32" w:name="_Toc222119549"/>
      <w:bookmarkStart w:id="33" w:name="_Toc222060710"/>
      <w:bookmarkStart w:id="34" w:name="_Toc222057954"/>
      <w:bookmarkStart w:id="35" w:name="_Toc222057814"/>
      <w:bookmarkStart w:id="36" w:name="_Toc222057534"/>
      <w:bookmarkStart w:id="37" w:name="_Toc222055272"/>
      <w:bookmarkStart w:id="38" w:name="_Toc221295012"/>
      <w:bookmarkStart w:id="39" w:name="_Toc221294463"/>
      <w:bookmarkStart w:id="40" w:name="_Toc221294344"/>
      <w:bookmarkStart w:id="41" w:name="_Toc6145702"/>
      <w:bookmarkStart w:id="42" w:name="_Toc240099650"/>
      <w:bookmarkStart w:id="43" w:name="_Toc240099466"/>
      <w:bookmarkStart w:id="44" w:name="_Toc222143895"/>
      <w:bookmarkStart w:id="45" w:name="_Toc222143724"/>
      <w:bookmarkStart w:id="46" w:name="_Toc222119549"/>
      <w:bookmarkStart w:id="47" w:name="_Toc222060710"/>
      <w:bookmarkStart w:id="48" w:name="_Toc222057954"/>
      <w:bookmarkStart w:id="49" w:name="_Toc222057814"/>
      <w:bookmarkStart w:id="50" w:name="_Toc222057534"/>
      <w:bookmarkStart w:id="51" w:name="_Toc222055272"/>
      <w:bookmarkStart w:id="52" w:name="_Toc221295012"/>
      <w:bookmarkStart w:id="53" w:name="_Toc221294463"/>
      <w:bookmarkStart w:id="54" w:name="_Toc221294344"/>
      <w:bookmarkStart w:id="55" w:name="_Toc6145702"/>
      <w:bookmarkEnd w:id="42"/>
      <w:bookmarkEnd w:id="43"/>
      <w:bookmarkEnd w:id="44"/>
      <w:bookmarkEnd w:id="45"/>
      <w:bookmarkEnd w:id="46"/>
      <w:bookmarkEnd w:id="47"/>
      <w:bookmarkEnd w:id="48"/>
      <w:bookmarkEnd w:id="49"/>
      <w:bookmarkEnd w:id="50"/>
      <w:bookmarkEnd w:id="51"/>
      <w:bookmarkEnd w:id="52"/>
      <w:bookmarkEnd w:id="53"/>
      <w:bookmarkEnd w:id="54"/>
      <w:bookmarkEnd w:id="55"/>
    </w:p>
    <w:p>
      <w:pPr>
        <w:pStyle w:val="Normal"/>
        <w:jc w:val="center"/>
        <w:rPr>
          <w:b/>
          <w:caps/>
          <w:spacing w:val="-30"/>
          <w:kern w:val="2"/>
          <w:sz w:val="32"/>
          <w:szCs w:val="28"/>
        </w:rPr>
      </w:pPr>
      <w:r>
        <w:rPr>
          <w:b/>
          <w:caps/>
          <w:spacing w:val="-30"/>
          <w:kern w:val="2"/>
          <w:sz w:val="32"/>
          <w:szCs w:val="28"/>
        </w:rPr>
        <w:t>(актуализированная на 2026</w:t>
      </w:r>
      <w:r>
        <w:rPr>
          <w:b/>
          <w:caps/>
          <w:spacing w:val="-30"/>
          <w:kern w:val="2"/>
          <w:sz w:val="32"/>
          <w:szCs w:val="28"/>
          <w:lang w:val="en-US"/>
        </w:rPr>
        <w:t xml:space="preserve"> </w:t>
      </w:r>
      <w:r>
        <w:rPr>
          <w:b/>
          <w:caps/>
          <w:spacing w:val="-30"/>
          <w:kern w:val="2"/>
          <w:sz w:val="32"/>
          <w:szCs w:val="28"/>
        </w:rPr>
        <w:t>ГОД)</w:t>
      </w:r>
    </w:p>
    <w:p>
      <w:pPr>
        <w:pStyle w:val="Normal"/>
        <w:ind w:hanging="0"/>
        <w:jc w:val="center"/>
        <w:rPr/>
      </w:pPr>
      <w:r>
        <w:rPr/>
      </w:r>
    </w:p>
    <w:p>
      <w:pPr>
        <w:pStyle w:val="Normal"/>
        <w:ind w:hanging="0"/>
        <w:jc w:val="center"/>
        <w:rPr/>
      </w:pPr>
      <w:r>
        <w:rPr/>
      </w:r>
    </w:p>
    <w:p>
      <w:pPr>
        <w:pStyle w:val="Normal"/>
        <w:ind w:hanging="0"/>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sectPr>
          <w:headerReference w:type="even" r:id="rId3"/>
          <w:headerReference w:type="default" r:id="rId4"/>
          <w:headerReference w:type="first" r:id="rId5"/>
          <w:footerReference w:type="even" r:id="rId6"/>
          <w:footerReference w:type="default" r:id="rId7"/>
          <w:footerReference w:type="first" r:id="rId8"/>
          <w:type w:val="nextPage"/>
          <w:pgSz w:w="11906" w:h="16838"/>
          <w:pgMar w:left="1701" w:right="1134" w:gutter="0" w:header="510" w:top="851" w:footer="691" w:bottom="1134"/>
          <w:pgNumType w:fmt="decimal"/>
          <w:formProt w:val="false"/>
          <w:titlePg/>
          <w:textDirection w:val="lrTb"/>
          <w:docGrid w:type="default" w:linePitch="360" w:charSpace="0"/>
        </w:sectPr>
        <w:pStyle w:val="Normal"/>
        <w:ind w:hanging="0"/>
        <w:jc w:val="center"/>
        <w:rPr/>
      </w:pPr>
      <w:r>
        <w:rPr/>
        <w:t>Калуга, 2025</w:t>
      </w:r>
    </w:p>
    <w:p>
      <w:pPr>
        <w:pStyle w:val="Normal"/>
        <w:widowControl/>
        <w:spacing w:before="0" w:after="0"/>
        <w:ind w:hanging="0"/>
        <w:jc w:val="center"/>
        <w:textAlignment w:val="auto"/>
        <w:rPr>
          <w:rFonts w:ascii="Arial Black" w:hAnsi="Arial Black"/>
          <w:caps/>
        </w:rPr>
      </w:pPr>
      <w:bookmarkStart w:id="56" w:name="_Toc334207151"/>
      <w:bookmarkStart w:id="57" w:name="_Toc297816582"/>
      <w:bookmarkStart w:id="58" w:name="_Toc333913957"/>
      <w:r>
        <w:rPr>
          <w:rFonts w:ascii="Arial Black" w:hAnsi="Arial Black"/>
          <w:caps/>
        </w:rPr>
        <w:t xml:space="preserve">Состав </w:t>
      </w:r>
      <w:bookmarkEnd w:id="58"/>
      <w:r>
        <w:rPr>
          <w:rFonts w:ascii="Arial Black" w:hAnsi="Arial Black"/>
          <w:caps/>
        </w:rPr>
        <w:t>документов</w:t>
      </w:r>
    </w:p>
    <w:tbl>
      <w:tblPr>
        <w:tblW w:w="9017" w:type="dxa"/>
        <w:jc w:val="left"/>
        <w:tblInd w:w="70" w:type="dxa"/>
        <w:tblLayout w:type="fixed"/>
        <w:tblCellMar>
          <w:top w:w="0" w:type="dxa"/>
          <w:left w:w="28" w:type="dxa"/>
          <w:bottom w:w="0" w:type="dxa"/>
          <w:right w:w="28" w:type="dxa"/>
        </w:tblCellMar>
        <w:tblLook w:firstRow="1" w:noVBand="1" w:lastRow="0" w:firstColumn="1" w:lastColumn="0" w:noHBand="0" w:val="04a0"/>
      </w:tblPr>
      <w:tblGrid>
        <w:gridCol w:w="6194"/>
        <w:gridCol w:w="2822"/>
      </w:tblGrid>
      <w:tr>
        <w:trPr>
          <w:tblHeader w:val="true"/>
          <w:trHeight w:val="454" w:hRule="atLeast"/>
        </w:trPr>
        <w:tc>
          <w:tcPr>
            <w:tcW w:w="6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szCs w:val="24"/>
                <w:lang w:eastAsia="ru-RU"/>
              </w:rPr>
            </w:pPr>
            <w:r>
              <w:rPr>
                <w:rFonts w:eastAsia="Times New Roman" w:cs="Arial"/>
                <w:b/>
                <w:color w:val="000000"/>
                <w:spacing w:val="0"/>
                <w:sz w:val="24"/>
                <w:szCs w:val="24"/>
                <w:lang w:eastAsia="ru-RU"/>
              </w:rPr>
              <w:t>Наименование документа</w:t>
            </w:r>
          </w:p>
        </w:tc>
        <w:tc>
          <w:tcPr>
            <w:tcW w:w="282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szCs w:val="24"/>
                <w:lang w:eastAsia="ru-RU"/>
              </w:rPr>
            </w:pPr>
            <w:r>
              <w:rPr>
                <w:rFonts w:eastAsia="Times New Roman" w:cs="Arial"/>
                <w:b/>
                <w:color w:val="000000"/>
                <w:spacing w:val="0"/>
                <w:sz w:val="24"/>
                <w:szCs w:val="24"/>
                <w:lang w:eastAsia="ru-RU"/>
              </w:rPr>
              <w:t>Шифр</w:t>
            </w:r>
          </w:p>
        </w:tc>
      </w:tr>
      <w:tr>
        <w:trPr>
          <w:trHeight w:val="592"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29401.СТ-ПСТ.000.000.</w:t>
            </w:r>
          </w:p>
        </w:tc>
      </w:tr>
      <w:tr>
        <w:trPr>
          <w:trHeight w:val="409" w:hRule="atLeast"/>
        </w:trPr>
        <w:tc>
          <w:tcPr>
            <w:tcW w:w="9016" w:type="dxa"/>
            <w:gridSpan w:val="2"/>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i/>
                <w:i/>
                <w:color w:val="000000"/>
                <w:spacing w:val="0"/>
                <w:sz w:val="24"/>
                <w:szCs w:val="24"/>
                <w:lang w:eastAsia="ru-RU"/>
              </w:rPr>
            </w:pPr>
            <w:r>
              <w:rPr>
                <w:rFonts w:eastAsia="Times New Roman" w:cs="Arial"/>
                <w:b/>
                <w:i/>
                <w:color w:val="000000"/>
                <w:spacing w:val="0"/>
                <w:sz w:val="24"/>
                <w:szCs w:val="24"/>
                <w:lang w:eastAsia="ru-RU"/>
              </w:rPr>
              <w:t>Обосновывающие материалы к схеме теплоснабжения</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Pr>
                <w:rFonts w:cs="Arial"/>
                <w:caps/>
                <w:color w:val="000000"/>
                <w:spacing w:val="0"/>
                <w:sz w:val="24"/>
                <w:szCs w:val="24"/>
                <w:lang w:eastAsia="ru-RU"/>
              </w:rPr>
              <w:t xml:space="preserve"> </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3. Электронная модель системы теплоснабжения города</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Инструкция пользователя (Зулу Термо)</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Альбом характеристик тепловых сетей</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29401.ОМ-ПСТ.003.003.</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29401.ОМ-ПСТ.003.004.</w:t>
            </w:r>
          </w:p>
        </w:tc>
      </w:tr>
      <w:tr>
        <w:trPr>
          <w:trHeight w:val="356"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29401.ОМ-ПСТ.003.005.</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29401.ОМ-ПСТ.004.000.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29401.ОМ-ПСТ.004.001.</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 Мастер-план развития систем теплоснабжения муниципального образования "Город Калуга" на период до 2028 года</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 Существующие и перспективные балансы производительности водоподготовительных установок</w:t>
            </w:r>
            <w:r>
              <w:rPr/>
              <w:t xml:space="preserve"> </w:t>
            </w:r>
            <w:r>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29401.ОМ-ПСТ.006.000.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7. Предложения по строительству, реконструкции и техническому перевооружению источников тепловой энергии</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29401.ОМ-ПСТ.009.000.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 Перспективные топливные балансы</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 Оценка надежности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12. Обоснование инвестиций в строительство, реконструкцию, техническое перевооружение и модернизацию</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29401.ОМ-ПСТ.012.000.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29401.ОМ-ПСТ.013.000.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29401.ОМ-ПСТ.014.000.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29401.ОМ-ПСТ.016.000.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29401.ОМ-ПСТ.017.000.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142"/>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29401.ОМ-ПСТ.018.000.</w:t>
            </w:r>
          </w:p>
        </w:tc>
      </w:tr>
    </w:tbl>
    <w:p>
      <w:pPr>
        <w:pStyle w:val="Normal"/>
        <w:widowControl/>
        <w:spacing w:before="0" w:after="0"/>
        <w:ind w:hanging="0"/>
        <w:jc w:val="left"/>
        <w:textAlignment w:val="auto"/>
        <w:rPr>
          <w:rFonts w:ascii="Arial Black" w:hAnsi="Arial Black"/>
        </w:rPr>
      </w:pPr>
      <w:r>
        <w:rPr>
          <w:rFonts w:ascii="Arial Black" w:hAnsi="Arial Black"/>
        </w:rPr>
      </w:r>
    </w:p>
    <w:p>
      <w:pPr>
        <w:pStyle w:val="Normal"/>
        <w:widowControl/>
        <w:spacing w:before="0" w:after="0"/>
        <w:ind w:hanging="0"/>
        <w:jc w:val="left"/>
        <w:textAlignment w:val="auto"/>
        <w:rPr>
          <w:rFonts w:ascii="Arial Black" w:hAnsi="Arial Black"/>
          <w:caps/>
          <w:spacing w:val="-8"/>
          <w:kern w:val="2"/>
          <w:szCs w:val="24"/>
        </w:rPr>
      </w:pPr>
      <w:r>
        <w:rPr>
          <w:rFonts w:ascii="Arial Black" w:hAnsi="Arial Black"/>
          <w:caps/>
          <w:spacing w:val="-8"/>
          <w:kern w:val="2"/>
          <w:szCs w:val="24"/>
        </w:rPr>
      </w:r>
    </w:p>
    <w:p>
      <w:pPr>
        <w:pStyle w:val="Normal"/>
        <w:widowControl/>
        <w:spacing w:before="0" w:after="0"/>
        <w:ind w:hanging="0"/>
        <w:jc w:val="center"/>
        <w:textAlignment w:val="auto"/>
        <w:rPr>
          <w:rFonts w:ascii="Arial Black" w:hAnsi="Arial Black"/>
          <w:caps/>
        </w:rPr>
      </w:pPr>
      <w:r>
        <w:rPr>
          <w:rFonts w:ascii="Arial Black" w:hAnsi="Arial Black"/>
          <w:caps/>
        </w:rPr>
      </w:r>
    </w:p>
    <w:p>
      <w:pPr>
        <w:pStyle w:val="Normal"/>
        <w:widowControl/>
        <w:spacing w:before="0" w:after="0"/>
        <w:ind w:hanging="0"/>
        <w:jc w:val="left"/>
        <w:textAlignment w:val="auto"/>
        <w:rPr>
          <w:rFonts w:ascii="Arial Black" w:hAnsi="Arial Black"/>
          <w:caps/>
        </w:rPr>
      </w:pPr>
      <w:r>
        <w:rPr>
          <w:rFonts w:ascii="Arial Black" w:hAnsi="Arial Black"/>
          <w:caps/>
        </w:rPr>
      </w:r>
      <w:r>
        <w:br w:type="page"/>
      </w:r>
    </w:p>
    <w:p>
      <w:pPr>
        <w:pStyle w:val="Normal"/>
        <w:widowControl/>
        <w:spacing w:before="0" w:after="0"/>
        <w:ind w:hanging="0"/>
        <w:jc w:val="center"/>
        <w:textAlignment w:val="auto"/>
        <w:rPr>
          <w:rFonts w:ascii="Arial Black" w:hAnsi="Arial Black"/>
          <w:caps/>
        </w:rPr>
      </w:pPr>
      <w:bookmarkStart w:id="59" w:name="_Toc334207151"/>
      <w:bookmarkStart w:id="60" w:name="_Toc297816582"/>
      <w:r>
        <w:rPr>
          <w:rFonts w:ascii="Arial Black" w:hAnsi="Arial Black"/>
          <w:caps/>
        </w:rPr>
        <w:t>Содержание</w:t>
      </w:r>
      <w:bookmarkEnd w:id="59"/>
      <w:bookmarkEnd w:id="60"/>
    </w:p>
    <w:sdt>
      <w:sdtPr>
        <w:docPartObj>
          <w:docPartGallery w:val="Table of Contents"/>
          <w:docPartUnique w:val="true"/>
        </w:docPartObj>
      </w:sdtPr>
      <w:sdtContent>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r>
            <w:fldChar w:fldCharType="begin"/>
          </w:r>
          <w:r>
            <w:rPr>
              <w:webHidden/>
              <w:rStyle w:val="Style31"/>
              <w:b w:val="false"/>
              <w:rFonts w:cs="Times New Roman" w:ascii="Times New Roman" w:hAnsi="Times New Roman"/>
            </w:rPr>
            <w:instrText xml:space="preserve"> TOC \z \o "1-3" \u \h</w:instrText>
          </w:r>
          <w:r>
            <w:rPr>
              <w:webHidden/>
              <w:rStyle w:val="Style31"/>
              <w:b w:val="false"/>
              <w:rFonts w:cs="Times New Roman" w:ascii="Times New Roman" w:hAnsi="Times New Roman"/>
            </w:rPr>
            <w:fldChar w:fldCharType="separate"/>
          </w:r>
          <w:hyperlink w:anchor="_Toc132981663">
            <w:r>
              <w:rPr>
                <w:webHidden/>
                <w:rStyle w:val="Style31"/>
                <w:rFonts w:cs="Times New Roman" w:ascii="Times New Roman" w:hAnsi="Times New Roman"/>
                <w:b w:val="false"/>
              </w:rPr>
              <w:t>Перечень таблиц</w:t>
            </w:r>
            <w:r>
              <w:rPr>
                <w:webHidden/>
              </w:rPr>
              <w:fldChar w:fldCharType="begin"/>
            </w:r>
            <w:r>
              <w:rPr>
                <w:webHidden/>
              </w:rPr>
              <w:instrText xml:space="preserve">PAGEREF _Toc132981663 \h</w:instrText>
            </w:r>
            <w:r>
              <w:rPr>
                <w:webHidden/>
              </w:rPr>
              <w:fldChar w:fldCharType="separate"/>
            </w:r>
            <w:r>
              <w:rPr>
                <w:rStyle w:val="Style31"/>
                <w:rFonts w:cs="Times New Roman" w:ascii="Times New Roman" w:hAnsi="Times New Roman"/>
                <w:b w:val="false"/>
                <w:vanish w:val="false"/>
              </w:rPr>
              <w:tab/>
              <w:t>6</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64">
            <w:r>
              <w:rPr>
                <w:webHidden/>
                <w:rStyle w:val="Style31"/>
                <w:rFonts w:cs="Times New Roman" w:ascii="Times New Roman" w:hAnsi="Times New Roman"/>
                <w:b w:val="false"/>
              </w:rPr>
              <w:t>Перечень рисунков</w:t>
            </w:r>
            <w:r>
              <w:rPr>
                <w:webHidden/>
              </w:rPr>
              <w:fldChar w:fldCharType="begin"/>
            </w:r>
            <w:r>
              <w:rPr>
                <w:webHidden/>
              </w:rPr>
              <w:instrText xml:space="preserve">PAGEREF _Toc132981664 \h</w:instrText>
            </w:r>
            <w:r>
              <w:rPr>
                <w:webHidden/>
              </w:rPr>
              <w:fldChar w:fldCharType="separate"/>
            </w:r>
            <w:r>
              <w:rPr>
                <w:rStyle w:val="Style31"/>
                <w:rFonts w:cs="Times New Roman" w:ascii="Times New Roman" w:hAnsi="Times New Roman"/>
                <w:b w:val="false"/>
                <w:vanish w:val="false"/>
              </w:rPr>
              <w:tab/>
              <w:t>8</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65">
            <w:r>
              <w:rPr>
                <w:webHidden/>
                <w:rStyle w:val="Style31"/>
                <w:rFonts w:cs="Times New Roman" w:ascii="Times New Roman" w:hAnsi="Times New Roman"/>
                <w:b w:val="false"/>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Pr>
                <w:webHidden/>
              </w:rPr>
              <w:fldChar w:fldCharType="begin"/>
            </w:r>
            <w:r>
              <w:rPr>
                <w:webHidden/>
              </w:rPr>
              <w:instrText xml:space="preserve">PAGEREF _Toc132981665 \h</w:instrText>
            </w:r>
            <w:r>
              <w:rPr>
                <w:webHidden/>
              </w:rPr>
              <w:fldChar w:fldCharType="separate"/>
            </w:r>
            <w:r>
              <w:rPr>
                <w:rStyle w:val="Style31"/>
                <w:rFonts w:cs="Times New Roman" w:ascii="Times New Roman" w:hAnsi="Times New Roman"/>
                <w:b w:val="false"/>
                <w:vanish w:val="false"/>
              </w:rPr>
              <w:tab/>
              <w:t>10</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66">
            <w:r>
              <w:rPr>
                <w:webHidden/>
                <w:rStyle w:val="Style31"/>
                <w:rFonts w:cs="Times New Roman" w:ascii="Times New Roman" w:hAnsi="Times New Roman"/>
                <w:b w:val="false"/>
                <w:spacing w:val="-10"/>
                <w:kern w:val="2"/>
                <w:sz w:val="24"/>
                <w:szCs w:val="24"/>
              </w:rPr>
              <w:t>1.1.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Общие положения</w:t>
            </w:r>
            <w:r>
              <w:rPr>
                <w:webHidden/>
              </w:rPr>
              <w:fldChar w:fldCharType="begin"/>
            </w:r>
            <w:r>
              <w:rPr>
                <w:webHidden/>
              </w:rPr>
              <w:instrText xml:space="preserve">PAGEREF _Toc132981666 \h</w:instrText>
            </w:r>
            <w:r>
              <w:rPr>
                <w:webHidden/>
              </w:rPr>
              <w:fldChar w:fldCharType="separate"/>
            </w:r>
            <w:r>
              <w:rPr>
                <w:rStyle w:val="Style31"/>
                <w:rFonts w:cs="Times New Roman" w:ascii="Times New Roman" w:hAnsi="Times New Roman"/>
                <w:b w:val="false"/>
                <w:vanish w:val="false"/>
                <w:sz w:val="24"/>
                <w:szCs w:val="24"/>
              </w:rPr>
              <w:tab/>
              <w:t>10</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67">
            <w:r>
              <w:rPr>
                <w:webHidden/>
                <w:rStyle w:val="Style31"/>
                <w:rFonts w:cs="Times New Roman" w:ascii="Times New Roman" w:hAnsi="Times New Roman"/>
                <w:b w:val="false"/>
                <w:spacing w:val="-10"/>
                <w:kern w:val="2"/>
                <w:sz w:val="24"/>
                <w:szCs w:val="24"/>
              </w:rPr>
              <w:t>1.2.</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Прогноз численности населения и застройки</w:t>
            </w:r>
            <w:r>
              <w:rPr>
                <w:webHidden/>
              </w:rPr>
              <w:fldChar w:fldCharType="begin"/>
            </w:r>
            <w:r>
              <w:rPr>
                <w:webHidden/>
              </w:rPr>
              <w:instrText xml:space="preserve">PAGEREF _Toc132981667 \h</w:instrText>
            </w:r>
            <w:r>
              <w:rPr>
                <w:webHidden/>
              </w:rPr>
              <w:fldChar w:fldCharType="separate"/>
            </w:r>
            <w:r>
              <w:rPr>
                <w:rStyle w:val="Style31"/>
                <w:rFonts w:cs="Times New Roman" w:ascii="Times New Roman" w:hAnsi="Times New Roman"/>
                <w:b w:val="false"/>
                <w:vanish w:val="false"/>
                <w:sz w:val="24"/>
                <w:szCs w:val="24"/>
              </w:rPr>
              <w:tab/>
              <w:t>13</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68">
            <w:r>
              <w:rPr>
                <w:webHidden/>
                <w:rStyle w:val="Style31"/>
                <w:rFonts w:cs="Times New Roman" w:ascii="Times New Roman" w:hAnsi="Times New Roman"/>
                <w:b w:val="false"/>
                <w:spacing w:val="-10"/>
                <w:kern w:val="2"/>
                <w:sz w:val="24"/>
                <w:szCs w:val="24"/>
              </w:rPr>
              <w:t>1.3.</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Прогноз прироста тепловых нагрузок</w:t>
            </w:r>
            <w:r>
              <w:rPr>
                <w:webHidden/>
              </w:rPr>
              <w:fldChar w:fldCharType="begin"/>
            </w:r>
            <w:r>
              <w:rPr>
                <w:webHidden/>
              </w:rPr>
              <w:instrText xml:space="preserve">PAGEREF _Toc132981668 \h</w:instrText>
            </w:r>
            <w:r>
              <w:rPr>
                <w:webHidden/>
              </w:rPr>
              <w:fldChar w:fldCharType="separate"/>
            </w:r>
            <w:r>
              <w:rPr>
                <w:rStyle w:val="Style31"/>
                <w:rFonts w:cs="Times New Roman" w:ascii="Times New Roman" w:hAnsi="Times New Roman"/>
                <w:b w:val="false"/>
                <w:vanish w:val="false"/>
                <w:sz w:val="24"/>
                <w:szCs w:val="24"/>
              </w:rPr>
              <w:tab/>
              <w:t>19</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69">
            <w:r>
              <w:rPr>
                <w:webHidden/>
                <w:rStyle w:val="Style31"/>
                <w:rFonts w:cs="Times New Roman" w:ascii="Times New Roman" w:hAnsi="Times New Roman"/>
                <w:b w:val="false"/>
                <w:spacing w:val="-10"/>
                <w:kern w:val="2"/>
                <w:sz w:val="24"/>
                <w:szCs w:val="24"/>
              </w:rPr>
              <w:t>1.4.</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Показатели существующего и перспективного спроса на тепловую энергию (мощность) и теплоноситель.</w:t>
            </w:r>
            <w:r>
              <w:rPr>
                <w:webHidden/>
              </w:rPr>
              <w:fldChar w:fldCharType="begin"/>
            </w:r>
            <w:r>
              <w:rPr>
                <w:webHidden/>
              </w:rPr>
              <w:instrText xml:space="preserve">PAGEREF _Toc132981669 \h</w:instrText>
            </w:r>
            <w:r>
              <w:rPr>
                <w:webHidden/>
              </w:rPr>
              <w:fldChar w:fldCharType="separate"/>
            </w:r>
            <w:r>
              <w:rPr>
                <w:rStyle w:val="Style31"/>
                <w:rFonts w:cs="Times New Roman" w:ascii="Times New Roman" w:hAnsi="Times New Roman"/>
                <w:b w:val="false"/>
                <w:vanish w:val="false"/>
                <w:sz w:val="24"/>
                <w:szCs w:val="24"/>
              </w:rPr>
              <w:tab/>
              <w:t>26</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70">
            <w:r>
              <w:rPr>
                <w:webHidden/>
                <w:rStyle w:val="Style31"/>
                <w:rFonts w:cs="Times New Roman" w:ascii="Times New Roman" w:hAnsi="Times New Roman"/>
                <w:b w:val="false"/>
              </w:rPr>
              <w:t>Раздел 2.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 xml:space="preserve">PAGEREF _Toc132981670 \h</w:instrText>
            </w:r>
            <w:r>
              <w:rPr>
                <w:webHidden/>
              </w:rPr>
              <w:fldChar w:fldCharType="separate"/>
            </w:r>
            <w:r>
              <w:rPr>
                <w:rStyle w:val="Style31"/>
                <w:rFonts w:cs="Times New Roman" w:ascii="Times New Roman" w:hAnsi="Times New Roman"/>
                <w:b w:val="false"/>
                <w:vanish w:val="false"/>
              </w:rPr>
              <w:tab/>
              <w:t>29</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1">
            <w:r>
              <w:rPr>
                <w:webHidden/>
                <w:rStyle w:val="Style31"/>
                <w:rFonts w:cs="Times New Roman" w:ascii="Times New Roman" w:hAnsi="Times New Roman"/>
                <w:b w:val="false"/>
                <w:sz w:val="24"/>
                <w:szCs w:val="24"/>
              </w:rPr>
              <w:t>2.1.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Радиусы эффективного теплоснабжения базовых теплоисточников</w:t>
            </w:r>
            <w:r>
              <w:rPr>
                <w:webHidden/>
              </w:rPr>
              <w:fldChar w:fldCharType="begin"/>
            </w:r>
            <w:r>
              <w:rPr>
                <w:webHidden/>
              </w:rPr>
              <w:instrText xml:space="preserve">PAGEREF _Toc132981671 \h</w:instrText>
            </w:r>
            <w:r>
              <w:rPr>
                <w:webHidden/>
              </w:rPr>
              <w:fldChar w:fldCharType="separate"/>
            </w:r>
            <w:r>
              <w:rPr>
                <w:rStyle w:val="Style31"/>
                <w:rFonts w:cs="Times New Roman" w:ascii="Times New Roman" w:hAnsi="Times New Roman"/>
                <w:b w:val="false"/>
                <w:vanish w:val="false"/>
                <w:sz w:val="24"/>
                <w:szCs w:val="24"/>
              </w:rPr>
              <w:tab/>
              <w:t>29</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2">
            <w:r>
              <w:rPr>
                <w:webHidden/>
                <w:rStyle w:val="Style31"/>
                <w:rFonts w:cs="Times New Roman" w:ascii="Times New Roman" w:hAnsi="Times New Roman"/>
                <w:b w:val="false"/>
                <w:sz w:val="24"/>
                <w:szCs w:val="24"/>
              </w:rPr>
              <w:t>2.2.</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Описание существующих и перспективных зон действия систем теплоснабжения</w:t>
            </w:r>
            <w:r>
              <w:rPr>
                <w:webHidden/>
              </w:rPr>
              <w:fldChar w:fldCharType="begin"/>
            </w:r>
            <w:r>
              <w:rPr>
                <w:webHidden/>
              </w:rPr>
              <w:instrText xml:space="preserve">PAGEREF _Toc132981672 \h</w:instrText>
            </w:r>
            <w:r>
              <w:rPr>
                <w:webHidden/>
              </w:rPr>
              <w:fldChar w:fldCharType="separate"/>
            </w:r>
            <w:r>
              <w:rPr>
                <w:rStyle w:val="Style31"/>
                <w:rFonts w:cs="Times New Roman" w:ascii="Times New Roman" w:hAnsi="Times New Roman"/>
                <w:b w:val="false"/>
                <w:vanish w:val="false"/>
                <w:sz w:val="24"/>
                <w:szCs w:val="24"/>
              </w:rPr>
              <w:tab/>
              <w:t>33</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3">
            <w:r>
              <w:rPr>
                <w:webHidden/>
                <w:rStyle w:val="Style31"/>
                <w:rFonts w:cs="Times New Roman" w:ascii="Times New Roman" w:hAnsi="Times New Roman"/>
                <w:b w:val="false"/>
                <w:sz w:val="24"/>
                <w:szCs w:val="24"/>
              </w:rPr>
              <w:t>2.3.</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Описание зон действия индивидуальных  источников тепловой энергии</w:t>
            </w:r>
            <w:r>
              <w:rPr>
                <w:webHidden/>
              </w:rPr>
              <w:fldChar w:fldCharType="begin"/>
            </w:r>
            <w:r>
              <w:rPr>
                <w:webHidden/>
              </w:rPr>
              <w:instrText xml:space="preserve">PAGEREF _Toc132981673 \h</w:instrText>
            </w:r>
            <w:r>
              <w:rPr>
                <w:webHidden/>
              </w:rPr>
              <w:fldChar w:fldCharType="separate"/>
            </w:r>
            <w:r>
              <w:rPr>
                <w:rStyle w:val="Style31"/>
                <w:rFonts w:cs="Times New Roman" w:ascii="Times New Roman" w:hAnsi="Times New Roman"/>
                <w:b w:val="false"/>
                <w:vanish w:val="false"/>
                <w:sz w:val="24"/>
                <w:szCs w:val="24"/>
              </w:rPr>
              <w:tab/>
              <w:t>36</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4">
            <w:r>
              <w:rPr>
                <w:webHidden/>
                <w:rStyle w:val="Style31"/>
                <w:rFonts w:cs="Times New Roman" w:ascii="Times New Roman" w:hAnsi="Times New Roman"/>
                <w:b w:val="false"/>
                <w:sz w:val="24"/>
                <w:szCs w:val="24"/>
              </w:rPr>
              <w:t>2.4.</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Pr>
                <w:webHidden/>
              </w:rPr>
              <w:fldChar w:fldCharType="begin"/>
            </w:r>
            <w:r>
              <w:rPr>
                <w:webHidden/>
              </w:rPr>
              <w:instrText xml:space="preserve">PAGEREF _Toc132981674 \h</w:instrText>
            </w:r>
            <w:r>
              <w:rPr>
                <w:webHidden/>
              </w:rPr>
              <w:fldChar w:fldCharType="separate"/>
            </w:r>
            <w:r>
              <w:rPr>
                <w:rStyle w:val="Style31"/>
                <w:rFonts w:cs="Times New Roman" w:ascii="Times New Roman" w:hAnsi="Times New Roman"/>
                <w:b w:val="false"/>
                <w:vanish w:val="false"/>
                <w:sz w:val="24"/>
                <w:szCs w:val="24"/>
              </w:rPr>
              <w:tab/>
              <w:t>36</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75">
            <w:r>
              <w:rPr>
                <w:webHidden/>
                <w:rStyle w:val="Style31"/>
                <w:rFonts w:cs="Times New Roman" w:ascii="Times New Roman" w:hAnsi="Times New Roman"/>
                <w:b w:val="false"/>
              </w:rPr>
              <w:t>Раздел 3. Существующие и Перспективные балансы теплоносителя</w:t>
            </w:r>
            <w:r>
              <w:rPr>
                <w:webHidden/>
              </w:rPr>
              <w:fldChar w:fldCharType="begin"/>
            </w:r>
            <w:r>
              <w:rPr>
                <w:webHidden/>
              </w:rPr>
              <w:instrText xml:space="preserve">PAGEREF _Toc132981675 \h</w:instrText>
            </w:r>
            <w:r>
              <w:rPr>
                <w:webHidden/>
              </w:rPr>
              <w:fldChar w:fldCharType="separate"/>
            </w:r>
            <w:r>
              <w:rPr>
                <w:rStyle w:val="Style31"/>
                <w:rFonts w:cs="Times New Roman" w:ascii="Times New Roman" w:hAnsi="Times New Roman"/>
                <w:b w:val="false"/>
                <w:vanish w:val="false"/>
              </w:rPr>
              <w:tab/>
              <w:t>38</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6">
            <w:r>
              <w:rPr>
                <w:webHidden/>
                <w:rStyle w:val="Style31"/>
                <w:rFonts w:cs="Times New Roman" w:ascii="Times New Roman" w:hAnsi="Times New Roman"/>
                <w:b w:val="false"/>
                <w:sz w:val="24"/>
                <w:szCs w:val="24"/>
              </w:rPr>
              <w:t>3.1. Существующие и перспективные объемы теплоносителя</w:t>
            </w:r>
            <w:r>
              <w:rPr>
                <w:webHidden/>
              </w:rPr>
              <w:fldChar w:fldCharType="begin"/>
            </w:r>
            <w:r>
              <w:rPr>
                <w:webHidden/>
              </w:rPr>
              <w:instrText xml:space="preserve">PAGEREF _Toc132981676 \h</w:instrText>
            </w:r>
            <w:r>
              <w:rPr>
                <w:webHidden/>
              </w:rPr>
              <w:fldChar w:fldCharType="separate"/>
            </w:r>
            <w:r>
              <w:rPr>
                <w:rStyle w:val="Style31"/>
                <w:rFonts w:cs="Times New Roman" w:ascii="Times New Roman" w:hAnsi="Times New Roman"/>
                <w:b w:val="false"/>
                <w:vanish w:val="false"/>
                <w:sz w:val="24"/>
                <w:szCs w:val="24"/>
              </w:rPr>
              <w:tab/>
              <w:t>38</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7">
            <w:r>
              <w:rPr>
                <w:webHidden/>
                <w:rStyle w:val="Style31"/>
                <w:rFonts w:cs="Times New Roman" w:ascii="Times New Roman" w:hAnsi="Times New Roman"/>
                <w:b w:val="false"/>
                <w:sz w:val="24"/>
                <w:szCs w:val="24"/>
              </w:rPr>
              <w:t>3.2.</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Pr>
                <w:webHidden/>
              </w:rPr>
              <w:fldChar w:fldCharType="begin"/>
            </w:r>
            <w:r>
              <w:rPr>
                <w:webHidden/>
              </w:rPr>
              <w:instrText xml:space="preserve">PAGEREF _Toc132981677 \h</w:instrText>
            </w:r>
            <w:r>
              <w:rPr>
                <w:webHidden/>
              </w:rPr>
              <w:fldChar w:fldCharType="separate"/>
            </w:r>
            <w:r>
              <w:rPr>
                <w:rStyle w:val="Style31"/>
                <w:rFonts w:cs="Times New Roman" w:ascii="Times New Roman" w:hAnsi="Times New Roman"/>
                <w:b w:val="false"/>
                <w:vanish w:val="false"/>
                <w:sz w:val="24"/>
                <w:szCs w:val="24"/>
              </w:rPr>
              <w:tab/>
              <w:t>40</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8">
            <w:r>
              <w:rPr>
                <w:webHidden/>
                <w:rStyle w:val="Style31"/>
                <w:rFonts w:cs="Times New Roman" w:ascii="Times New Roman" w:hAnsi="Times New Roman"/>
                <w:b w:val="false"/>
                <w:sz w:val="24"/>
                <w:szCs w:val="24"/>
              </w:rPr>
              <w:t>3.3.</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Pr>
                <w:webHidden/>
              </w:rPr>
              <w:fldChar w:fldCharType="begin"/>
            </w:r>
            <w:r>
              <w:rPr>
                <w:webHidden/>
              </w:rPr>
              <w:instrText xml:space="preserve">PAGEREF _Toc132981678 \h</w:instrText>
            </w:r>
            <w:r>
              <w:rPr>
                <w:webHidden/>
              </w:rPr>
              <w:fldChar w:fldCharType="separate"/>
            </w:r>
            <w:r>
              <w:rPr>
                <w:rStyle w:val="Style31"/>
                <w:rFonts w:cs="Times New Roman" w:ascii="Times New Roman" w:hAnsi="Times New Roman"/>
                <w:b w:val="false"/>
                <w:vanish w:val="false"/>
                <w:sz w:val="24"/>
                <w:szCs w:val="24"/>
              </w:rPr>
              <w:tab/>
              <w:t>42</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79">
            <w:r>
              <w:rPr>
                <w:webHidden/>
                <w:rStyle w:val="Style31"/>
                <w:rFonts w:cs="Times New Roman" w:ascii="Times New Roman" w:hAnsi="Times New Roman"/>
                <w:b w:val="false"/>
                <w:sz w:val="24"/>
                <w:szCs w:val="24"/>
              </w:rPr>
              <w:t>3.4.</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Мероприятия по переводу потребителей с зависимой схемы теплоснабжения на независимую</w:t>
            </w:r>
            <w:r>
              <w:rPr>
                <w:webHidden/>
              </w:rPr>
              <w:fldChar w:fldCharType="begin"/>
            </w:r>
            <w:r>
              <w:rPr>
                <w:webHidden/>
              </w:rPr>
              <w:instrText xml:space="preserve">PAGEREF _Toc132981679 \h</w:instrText>
            </w:r>
            <w:r>
              <w:rPr>
                <w:webHidden/>
              </w:rPr>
              <w:fldChar w:fldCharType="separate"/>
            </w:r>
            <w:r>
              <w:rPr>
                <w:rStyle w:val="Style31"/>
                <w:rFonts w:cs="Times New Roman" w:ascii="Times New Roman" w:hAnsi="Times New Roman"/>
                <w:b w:val="false"/>
                <w:vanish w:val="false"/>
                <w:sz w:val="24"/>
                <w:szCs w:val="24"/>
              </w:rPr>
              <w:tab/>
              <w:t>45</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80">
            <w:r>
              <w:rPr>
                <w:webHidden/>
                <w:rStyle w:val="Style31"/>
                <w:rFonts w:cs="Times New Roman" w:ascii="Times New Roman" w:hAnsi="Times New Roman"/>
                <w:b w:val="false"/>
                <w:lang w:eastAsia="ru-RU"/>
              </w:rPr>
              <w:t>Раздел 4. ОСНОВНЫЕ ПОЛОЖЕНИЯ МАСТЕР - ПЛАНА РАЗВИТИЯ СИСТЕМЫ ТЕПЛОСНАБЖЕНИЯ ГОРОДСКОГО ОКРУГА</w:t>
            </w:r>
            <w:r>
              <w:rPr>
                <w:webHidden/>
              </w:rPr>
              <w:fldChar w:fldCharType="begin"/>
            </w:r>
            <w:r>
              <w:rPr>
                <w:webHidden/>
              </w:rPr>
              <w:instrText xml:space="preserve">PAGEREF _Toc132981680 \h</w:instrText>
            </w:r>
            <w:r>
              <w:rPr>
                <w:webHidden/>
              </w:rPr>
              <w:fldChar w:fldCharType="separate"/>
            </w:r>
            <w:r>
              <w:rPr>
                <w:rStyle w:val="Style31"/>
                <w:rFonts w:cs="Times New Roman" w:ascii="Times New Roman" w:hAnsi="Times New Roman"/>
                <w:b w:val="false"/>
                <w:vanish w:val="false"/>
              </w:rPr>
              <w:tab/>
              <w:t>46</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81">
            <w:r>
              <w:rPr>
                <w:webHidden/>
                <w:rStyle w:val="Style31"/>
                <w:rFonts w:cs="Times New Roman" w:ascii="Times New Roman" w:hAnsi="Times New Roman"/>
                <w:b w:val="false"/>
                <w:spacing w:val="-10"/>
                <w:kern w:val="2"/>
                <w:sz w:val="24"/>
                <w:szCs w:val="24"/>
              </w:rPr>
              <w:t>4.1.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Варианты, включенные в мастер-план</w:t>
            </w:r>
            <w:r>
              <w:rPr>
                <w:webHidden/>
              </w:rPr>
              <w:fldChar w:fldCharType="begin"/>
            </w:r>
            <w:r>
              <w:rPr>
                <w:webHidden/>
              </w:rPr>
              <w:instrText xml:space="preserve">PAGEREF _Toc132981681 \h</w:instrText>
            </w:r>
            <w:r>
              <w:rPr>
                <w:webHidden/>
              </w:rPr>
              <w:fldChar w:fldCharType="separate"/>
            </w:r>
            <w:r>
              <w:rPr>
                <w:rStyle w:val="Style31"/>
                <w:rFonts w:cs="Times New Roman" w:ascii="Times New Roman" w:hAnsi="Times New Roman"/>
                <w:b w:val="false"/>
                <w:vanish w:val="false"/>
                <w:sz w:val="24"/>
                <w:szCs w:val="24"/>
              </w:rPr>
              <w:tab/>
              <w:t>47</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82">
            <w:r>
              <w:rPr>
                <w:webHidden/>
                <w:rStyle w:val="Style31"/>
                <w:rFonts w:cs="Times New Roman" w:ascii="Times New Roman" w:hAnsi="Times New Roman"/>
                <w:b w:val="false"/>
                <w:caps/>
                <w:spacing w:val="-8"/>
                <w:kern w:val="2"/>
              </w:rPr>
              <w:t>4.2.</w:t>
            </w:r>
            <w:r>
              <w:rPr>
                <w:rStyle w:val="Style31"/>
                <w:rFonts w:eastAsia="" w:cs="Times New Roman" w:ascii="Times New Roman" w:hAnsi="Times New Roman" w:eastAsiaTheme="minorEastAsia"/>
                <w:b w:val="false"/>
                <w:bCs w:val="false"/>
                <w:iCs w:val="false"/>
                <w:spacing w:val="0"/>
                <w:lang w:eastAsia="ru-RU"/>
              </w:rPr>
              <w:tab/>
            </w:r>
            <w:r>
              <w:rPr>
                <w:rStyle w:val="Style31"/>
                <w:rFonts w:cs="Times New Roman" w:ascii="Times New Roman" w:hAnsi="Times New Roman"/>
                <w:b w:val="false"/>
                <w:caps/>
                <w:spacing w:val="-8"/>
                <w:kern w:val="2"/>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Pr>
                <w:webHidden/>
              </w:rPr>
              <w:fldChar w:fldCharType="begin"/>
            </w:r>
            <w:r>
              <w:rPr>
                <w:webHidden/>
              </w:rPr>
              <w:instrText xml:space="preserve">PAGEREF _Toc132981682 \h</w:instrText>
            </w:r>
            <w:r>
              <w:rPr>
                <w:webHidden/>
              </w:rPr>
              <w:fldChar w:fldCharType="separate"/>
            </w:r>
            <w:r>
              <w:rPr>
                <w:rStyle w:val="Style31"/>
                <w:rFonts w:cs="Times New Roman" w:ascii="Times New Roman" w:hAnsi="Times New Roman"/>
                <w:b w:val="false"/>
                <w:vanish w:val="false"/>
              </w:rPr>
              <w:tab/>
              <w:t>……………………………………………………………………………………………59</w:t>
            </w:r>
            <w:r>
              <w:rPr>
                <w:webHidden/>
              </w:rPr>
              <w:fldChar w:fldCharType="end"/>
            </w:r>
          </w:hyperlink>
        </w:p>
        <w:p>
          <w:pPr>
            <w:pStyle w:val="TOC2"/>
            <w:tabs>
              <w:tab w:val="left" w:pos="567" w:leader="none"/>
              <w:tab w:val="left" w:pos="1320" w:leader="none"/>
              <w:tab w:val="left" w:pos="176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83">
            <w:r>
              <w:rPr>
                <w:webHidden/>
                <w:rStyle w:val="Style31"/>
                <w:rFonts w:cs="Times New Roman" w:ascii="Times New Roman" w:hAnsi="Times New Roman"/>
                <w:b w:val="false"/>
                <w:spacing w:val="-10"/>
                <w:kern w:val="2"/>
                <w:sz w:val="24"/>
                <w:szCs w:val="24"/>
              </w:rPr>
              <w:t>4.2.1.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rPr>
              <w:t>Сценарий № 1 «Консервативный»</w:t>
            </w:r>
            <w:r>
              <w:rPr>
                <w:webHidden/>
              </w:rPr>
              <w:fldChar w:fldCharType="begin"/>
            </w:r>
            <w:r>
              <w:rPr>
                <w:webHidden/>
              </w:rPr>
              <w:instrText xml:space="preserve">PAGEREF _Toc132981683 \h</w:instrText>
            </w:r>
            <w:r>
              <w:rPr>
                <w:webHidden/>
              </w:rPr>
              <w:fldChar w:fldCharType="separate"/>
            </w:r>
            <w:r>
              <w:rPr>
                <w:rStyle w:val="Style31"/>
                <w:rFonts w:cs="Times New Roman" w:ascii="Times New Roman" w:hAnsi="Times New Roman"/>
                <w:b w:val="false"/>
                <w:vanish w:val="false"/>
                <w:sz w:val="24"/>
                <w:szCs w:val="24"/>
              </w:rPr>
              <w:tab/>
              <w:t>59</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84">
            <w:r>
              <w:rPr>
                <w:webHidden/>
                <w:rStyle w:val="Style31"/>
                <w:rFonts w:cs="Times New Roman" w:ascii="Times New Roman" w:hAnsi="Times New Roman"/>
                <w:b w:val="false"/>
                <w:spacing w:val="-10"/>
                <w:kern w:val="2"/>
                <w:sz w:val="24"/>
                <w:szCs w:val="24"/>
              </w:rPr>
              <w:t>4.2.1 Сценарий № 2 «Вариационный»</w:t>
            </w:r>
            <w:r>
              <w:rPr>
                <w:webHidden/>
              </w:rPr>
              <w:fldChar w:fldCharType="begin"/>
            </w:r>
            <w:r>
              <w:rPr>
                <w:webHidden/>
              </w:rPr>
              <w:instrText xml:space="preserve">PAGEREF _Toc132981684 \h</w:instrText>
            </w:r>
            <w:r>
              <w:rPr>
                <w:webHidden/>
              </w:rPr>
              <w:fldChar w:fldCharType="separate"/>
            </w:r>
            <w:r>
              <w:rPr>
                <w:rStyle w:val="Style31"/>
                <w:rFonts w:cs="Times New Roman" w:ascii="Times New Roman" w:hAnsi="Times New Roman"/>
                <w:b w:val="false"/>
                <w:vanish w:val="false"/>
                <w:sz w:val="24"/>
                <w:szCs w:val="24"/>
              </w:rPr>
              <w:tab/>
              <w:t>66</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cs="Times New Roman"/>
              <w:b w:val="false"/>
              <w:sz w:val="24"/>
              <w:szCs w:val="24"/>
            </w:rPr>
          </w:pPr>
          <w:hyperlink w:anchor="_Toc132981685">
            <w:r>
              <w:rPr>
                <w:webHidden/>
                <w:rStyle w:val="Style31"/>
                <w:rFonts w:cs="Times New Roman" w:ascii="Times New Roman" w:hAnsi="Times New Roman"/>
                <w:b w:val="false"/>
                <w:spacing w:val="-10"/>
                <w:kern w:val="2"/>
                <w:sz w:val="24"/>
                <w:szCs w:val="24"/>
              </w:rPr>
              <w:t>4.2.2.Сценарий № 3 «Когенерационный»</w:t>
            </w:r>
            <w:r>
              <w:rPr>
                <w:webHidden/>
              </w:rPr>
              <w:fldChar w:fldCharType="begin"/>
            </w:r>
            <w:r>
              <w:rPr>
                <w:webHidden/>
              </w:rPr>
              <w:instrText xml:space="preserve">PAGEREF _Toc132981685 \h</w:instrText>
            </w:r>
            <w:r>
              <w:rPr>
                <w:webHidden/>
              </w:rPr>
              <w:fldChar w:fldCharType="separate"/>
            </w:r>
            <w:r>
              <w:rPr>
                <w:rStyle w:val="Style31"/>
                <w:rFonts w:cs="Times New Roman" w:ascii="Times New Roman" w:hAnsi="Times New Roman"/>
                <w:b w:val="false"/>
                <w:vanish w:val="false"/>
                <w:sz w:val="24"/>
                <w:szCs w:val="24"/>
              </w:rPr>
              <w:tab/>
              <w:t>70</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cs="Times New Roman"/>
              <w:b w:val="false"/>
              <w:sz w:val="24"/>
              <w:szCs w:val="24"/>
            </w:rPr>
          </w:pPr>
          <w:hyperlink w:anchor="_Toc132981685">
            <w:r>
              <w:rPr>
                <w:webHidden/>
                <w:rStyle w:val="Style31"/>
                <w:rFonts w:cs="Times New Roman" w:ascii="Times New Roman" w:hAnsi="Times New Roman"/>
                <w:b w:val="false"/>
                <w:spacing w:val="-10"/>
                <w:kern w:val="2"/>
                <w:sz w:val="24"/>
                <w:szCs w:val="24"/>
              </w:rPr>
              <w:t xml:space="preserve">4.3 </w:t>
            </w:r>
            <w:r>
              <w:rPr>
                <w:rStyle w:val="Style31"/>
                <w:rFonts w:cs="Times New Roman" w:ascii="Times New Roman" w:hAnsi="Times New Roman"/>
                <w:b w:val="false"/>
                <w:sz w:val="24"/>
                <w:szCs w:val="24"/>
              </w:rPr>
              <w:t>Вариант развития системы теплоснабжения с переходом на использование индивидуальных тепловых пунктов (ИТП)</w:t>
            </w:r>
            <w:r>
              <w:rPr>
                <w:webHidden/>
              </w:rPr>
              <w:fldChar w:fldCharType="begin"/>
            </w:r>
            <w:r>
              <w:rPr>
                <w:webHidden/>
              </w:rPr>
              <w:instrText xml:space="preserve">PAGEREF _Toc132981685 \h</w:instrText>
            </w:r>
            <w:r>
              <w:rPr>
                <w:webHidden/>
              </w:rPr>
              <w:fldChar w:fldCharType="separate"/>
            </w:r>
            <w:r>
              <w:rPr>
                <w:rStyle w:val="Style31"/>
                <w:rFonts w:cs="Times New Roman" w:ascii="Times New Roman" w:hAnsi="Times New Roman"/>
                <w:b w:val="false"/>
                <w:vanish w:val="false"/>
                <w:sz w:val="24"/>
                <w:szCs w:val="24"/>
              </w:rPr>
              <w:tab/>
              <w:t>74</w:t>
            </w:r>
            <w:r>
              <w:rPr>
                <w:webHidden/>
              </w:rPr>
              <w:fldChar w:fldCharType="end"/>
            </w:r>
          </w:hyperlink>
        </w:p>
        <w:p>
          <w:pPr>
            <w:pStyle w:val="Normal"/>
            <w:rPr/>
          </w:pPr>
          <w:r>
            <w:rPr/>
          </w:r>
        </w:p>
        <w:p>
          <w:pPr>
            <w:pStyle w:val="Normal"/>
            <w:rPr/>
          </w:pPr>
          <w:r>
            <w:rPr/>
          </w:r>
        </w:p>
        <w:p>
          <w:pPr>
            <w:pStyle w:val="TOC2"/>
            <w:tabs>
              <w:tab w:val="left" w:pos="567" w:leader="none"/>
              <w:tab w:val="left" w:pos="1320" w:leader="none"/>
              <w:tab w:val="right" w:pos="9061" w:leader="dot"/>
            </w:tabs>
            <w:ind w:hanging="0" w:left="0"/>
            <w:rPr>
              <w:rFonts w:ascii="Times New Roman" w:hAnsi="Times New Roman" w:cs="Times New Roman"/>
              <w:b w:val="false"/>
              <w:sz w:val="24"/>
              <w:szCs w:val="24"/>
            </w:rPr>
          </w:pPr>
          <w:hyperlink w:anchor="_Toc132981685">
            <w:r>
              <w:rPr>
                <w:webHidden/>
                <w:rStyle w:val="Style31"/>
                <w:rFonts w:cs="Times New Roman" w:ascii="Times New Roman" w:hAnsi="Times New Roman"/>
                <w:b w:val="false"/>
                <w:spacing w:val="-10"/>
                <w:kern w:val="2"/>
                <w:sz w:val="24"/>
                <w:szCs w:val="24"/>
              </w:rPr>
              <w:t>4.4</w:t>
            </w:r>
            <w:r>
              <w:rPr>
                <w:rStyle w:val="Style31"/>
                <w:rFonts w:ascii="Times New Roman" w:hAnsi="Times New Roman"/>
                <w:sz w:val="24"/>
                <w:szCs w:val="24"/>
              </w:rPr>
              <w:t xml:space="preserve"> </w:t>
            </w:r>
            <w:r>
              <w:rPr>
                <w:rStyle w:val="Style31"/>
                <w:rFonts w:ascii="Times New Roman" w:hAnsi="Times New Roman"/>
                <w:b w:val="false"/>
                <w:sz w:val="24"/>
                <w:szCs w:val="24"/>
              </w:rPr>
              <w:t>Сравнение вариантов</w:t>
            </w:r>
            <w:r>
              <w:rPr>
                <w:rStyle w:val="Style31"/>
                <w:rFonts w:cs="Times New Roman" w:ascii="Times New Roman" w:hAnsi="Times New Roman"/>
                <w:b w:val="false"/>
                <w:sz w:val="24"/>
                <w:szCs w:val="24"/>
              </w:rPr>
              <w:t xml:space="preserve"> ра</w:t>
            </w:r>
            <w:r>
              <w:rPr>
                <w:rStyle w:val="Style31"/>
                <w:rFonts w:ascii="Times New Roman" w:hAnsi="Times New Roman"/>
                <w:b w:val="false"/>
                <w:sz w:val="24"/>
                <w:szCs w:val="24"/>
              </w:rPr>
              <w:t>звития системы  теплоснабжения</w:t>
            </w:r>
            <w:r>
              <w:rPr>
                <w:webHidden/>
              </w:rPr>
              <w:fldChar w:fldCharType="begin"/>
            </w:r>
            <w:r>
              <w:rPr>
                <w:webHidden/>
              </w:rPr>
              <w:instrText xml:space="preserve">PAGEREF _Toc132981685 \h</w:instrText>
            </w:r>
            <w:r>
              <w:rPr>
                <w:webHidden/>
              </w:rPr>
              <w:fldChar w:fldCharType="separate"/>
            </w:r>
            <w:r>
              <w:rPr>
                <w:rStyle w:val="Style31"/>
                <w:rFonts w:cs="Times New Roman" w:ascii="Times New Roman" w:hAnsi="Times New Roman"/>
                <w:b w:val="false"/>
                <w:vanish w:val="false"/>
                <w:sz w:val="24"/>
                <w:szCs w:val="24"/>
              </w:rPr>
              <w:tab/>
              <w:t>74</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87">
            <w:r>
              <w:rPr>
                <w:webHidden/>
                <w:rStyle w:val="Style31"/>
                <w:rFonts w:cs="Times New Roman" w:ascii="Times New Roman" w:hAnsi="Times New Roman"/>
                <w:b w:val="false"/>
              </w:rPr>
              <w:t>Раздел 5.  Предложения по строительству, реконструкции и техническому перевооружению источников тепловой энергии</w:t>
            </w:r>
            <w:r>
              <w:rPr>
                <w:webHidden/>
              </w:rPr>
              <w:fldChar w:fldCharType="begin"/>
            </w:r>
            <w:r>
              <w:rPr>
                <w:webHidden/>
              </w:rPr>
              <w:instrText xml:space="preserve">PAGEREF _Toc132981687 \h</w:instrText>
            </w:r>
            <w:r>
              <w:rPr>
                <w:webHidden/>
              </w:rPr>
              <w:fldChar w:fldCharType="separate"/>
            </w:r>
            <w:r>
              <w:rPr>
                <w:rStyle w:val="Style31"/>
                <w:rFonts w:cs="Times New Roman" w:ascii="Times New Roman" w:hAnsi="Times New Roman"/>
                <w:b w:val="false"/>
                <w:vanish w:val="false"/>
              </w:rPr>
              <w:tab/>
              <w:t>87</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88">
            <w:r>
              <w:rPr>
                <w:webHidden/>
                <w:rStyle w:val="Style31"/>
                <w:rFonts w:cs="Times New Roman" w:ascii="Times New Roman" w:hAnsi="Times New Roman"/>
                <w:b w:val="false"/>
                <w:sz w:val="24"/>
                <w:szCs w:val="24"/>
              </w:rPr>
              <w:t>5.1.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Общие положения</w:t>
            </w:r>
            <w:r>
              <w:rPr>
                <w:webHidden/>
              </w:rPr>
              <w:fldChar w:fldCharType="begin"/>
            </w:r>
            <w:r>
              <w:rPr>
                <w:webHidden/>
              </w:rPr>
              <w:instrText xml:space="preserve">PAGEREF _Toc132981688 \h</w:instrText>
            </w:r>
            <w:r>
              <w:rPr>
                <w:webHidden/>
              </w:rPr>
              <w:fldChar w:fldCharType="separate"/>
            </w:r>
            <w:r>
              <w:rPr>
                <w:rStyle w:val="Style31"/>
                <w:rFonts w:cs="Times New Roman" w:ascii="Times New Roman" w:hAnsi="Times New Roman"/>
                <w:b w:val="false"/>
                <w:vanish w:val="false"/>
                <w:sz w:val="24"/>
                <w:szCs w:val="24"/>
              </w:rPr>
              <w:tab/>
              <w:t>87</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89">
            <w:r>
              <w:rPr>
                <w:webHidden/>
                <w:rStyle w:val="Style31"/>
                <w:rFonts w:cs="Times New Roman" w:ascii="Times New Roman" w:hAnsi="Times New Roman"/>
                <w:b w:val="false"/>
                <w:sz w:val="24"/>
                <w:szCs w:val="24"/>
              </w:rPr>
              <w:t>5.2.</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Pr>
                <w:webHidden/>
              </w:rPr>
              <w:fldChar w:fldCharType="begin"/>
            </w:r>
            <w:r>
              <w:rPr>
                <w:webHidden/>
              </w:rPr>
              <w:instrText xml:space="preserve">PAGEREF _Toc132981689 \h</w:instrText>
            </w:r>
            <w:r>
              <w:rPr>
                <w:webHidden/>
              </w:rPr>
              <w:fldChar w:fldCharType="separate"/>
            </w:r>
            <w:r>
              <w:rPr>
                <w:rStyle w:val="Style31"/>
                <w:rFonts w:cs="Times New Roman" w:ascii="Times New Roman" w:hAnsi="Times New Roman"/>
                <w:b w:val="false"/>
                <w:vanish w:val="false"/>
                <w:sz w:val="24"/>
                <w:szCs w:val="24"/>
              </w:rPr>
              <w:tab/>
              <w:t>88</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0">
            <w:r>
              <w:rPr>
                <w:webHidden/>
                <w:rStyle w:val="Style31"/>
                <w:rFonts w:cs="Times New Roman" w:ascii="Times New Roman" w:hAnsi="Times New Roman"/>
                <w:b w:val="false"/>
                <w:sz w:val="24"/>
                <w:szCs w:val="24"/>
              </w:rPr>
              <w:t>5.3.</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модернизации и реконструкции теплоисточников</w:t>
            </w:r>
            <w:r>
              <w:rPr>
                <w:webHidden/>
              </w:rPr>
              <w:fldChar w:fldCharType="begin"/>
            </w:r>
            <w:r>
              <w:rPr>
                <w:webHidden/>
              </w:rPr>
              <w:instrText xml:space="preserve">PAGEREF _Toc132981690 \h</w:instrText>
            </w:r>
            <w:r>
              <w:rPr>
                <w:webHidden/>
              </w:rPr>
              <w:fldChar w:fldCharType="separate"/>
            </w:r>
            <w:r>
              <w:rPr>
                <w:rStyle w:val="Style31"/>
                <w:rFonts w:cs="Times New Roman" w:ascii="Times New Roman" w:hAnsi="Times New Roman"/>
                <w:b w:val="false"/>
                <w:vanish w:val="false"/>
                <w:sz w:val="24"/>
                <w:szCs w:val="24"/>
              </w:rPr>
              <w:tab/>
              <w:t>90</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1">
            <w:r>
              <w:rPr>
                <w:webHidden/>
                <w:rStyle w:val="Style31"/>
                <w:rFonts w:cs="Times New Roman" w:ascii="Times New Roman" w:hAnsi="Times New Roman"/>
                <w:b w:val="false"/>
                <w:sz w:val="24"/>
                <w:szCs w:val="24"/>
              </w:rPr>
              <w:t>5.4.</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строительству новых источников тепловой энергии (мощности)</w:t>
            </w:r>
            <w:r>
              <w:rPr>
                <w:webHidden/>
              </w:rPr>
              <w:fldChar w:fldCharType="begin"/>
            </w:r>
            <w:r>
              <w:rPr>
                <w:webHidden/>
              </w:rPr>
              <w:instrText xml:space="preserve">PAGEREF _Toc132981691 \h</w:instrText>
            </w:r>
            <w:r>
              <w:rPr>
                <w:webHidden/>
              </w:rPr>
              <w:fldChar w:fldCharType="separate"/>
            </w:r>
            <w:r>
              <w:rPr>
                <w:rStyle w:val="Style31"/>
                <w:rFonts w:cs="Times New Roman" w:ascii="Times New Roman" w:hAnsi="Times New Roman"/>
                <w:b w:val="false"/>
                <w:vanish w:val="false"/>
                <w:sz w:val="24"/>
                <w:szCs w:val="24"/>
              </w:rPr>
              <w:tab/>
              <w:t>94</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92">
            <w:r>
              <w:rPr>
                <w:webHidden/>
                <w:rStyle w:val="Style31"/>
                <w:rFonts w:cs="Times New Roman" w:ascii="Times New Roman" w:hAnsi="Times New Roman"/>
                <w:b w:val="false"/>
              </w:rPr>
              <w:t>Раздел 6. Предложения по строительству, реконструкции и МОДЕРНИЗАЦИИ тепловых сетей</w:t>
            </w:r>
            <w:r>
              <w:rPr>
                <w:webHidden/>
              </w:rPr>
              <w:fldChar w:fldCharType="begin"/>
            </w:r>
            <w:r>
              <w:rPr>
                <w:webHidden/>
              </w:rPr>
              <w:instrText xml:space="preserve">PAGEREF _Toc132981692 \h</w:instrText>
            </w:r>
            <w:r>
              <w:rPr>
                <w:webHidden/>
              </w:rPr>
              <w:fldChar w:fldCharType="separate"/>
            </w:r>
            <w:r>
              <w:rPr>
                <w:rStyle w:val="Style31"/>
                <w:rFonts w:cs="Times New Roman" w:ascii="Times New Roman" w:hAnsi="Times New Roman"/>
                <w:b w:val="false"/>
                <w:vanish w:val="false"/>
              </w:rPr>
              <w:tab/>
              <w:t>96</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3">
            <w:r>
              <w:rPr>
                <w:webHidden/>
                <w:rStyle w:val="Style31"/>
                <w:rFonts w:cs="Times New Roman" w:ascii="Times New Roman" w:hAnsi="Times New Roman"/>
                <w:b w:val="false"/>
                <w:sz w:val="24"/>
                <w:szCs w:val="24"/>
              </w:rPr>
              <w:t>6.1.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Общие положения</w:t>
            </w:r>
            <w:r>
              <w:rPr>
                <w:webHidden/>
              </w:rPr>
              <w:fldChar w:fldCharType="begin"/>
            </w:r>
            <w:r>
              <w:rPr>
                <w:webHidden/>
              </w:rPr>
              <w:instrText xml:space="preserve">PAGEREF _Toc132981693 \h</w:instrText>
            </w:r>
            <w:r>
              <w:rPr>
                <w:webHidden/>
              </w:rPr>
              <w:fldChar w:fldCharType="separate"/>
            </w:r>
            <w:r>
              <w:rPr>
                <w:rStyle w:val="Style31"/>
                <w:rFonts w:cs="Times New Roman" w:ascii="Times New Roman" w:hAnsi="Times New Roman"/>
                <w:b w:val="false"/>
                <w:vanish w:val="false"/>
                <w:sz w:val="24"/>
                <w:szCs w:val="24"/>
              </w:rPr>
              <w:tab/>
              <w:t>96</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4">
            <w:r>
              <w:rPr>
                <w:webHidden/>
                <w:rStyle w:val="Style31"/>
                <w:rFonts w:cs="Times New Roman" w:ascii="Times New Roman" w:hAnsi="Times New Roman"/>
                <w:b w:val="false"/>
                <w:sz w:val="24"/>
                <w:szCs w:val="24"/>
              </w:rPr>
              <w:t>6.2.</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новому строительству для объединения котельных</w:t>
            </w:r>
            <w:r>
              <w:rPr>
                <w:webHidden/>
              </w:rPr>
              <w:fldChar w:fldCharType="begin"/>
            </w:r>
            <w:r>
              <w:rPr>
                <w:webHidden/>
              </w:rPr>
              <w:instrText xml:space="preserve">PAGEREF _Toc132981694 \h</w:instrText>
            </w:r>
            <w:r>
              <w:rPr>
                <w:webHidden/>
              </w:rPr>
              <w:fldChar w:fldCharType="separate"/>
            </w:r>
            <w:r>
              <w:rPr>
                <w:rStyle w:val="Style31"/>
                <w:rFonts w:cs="Times New Roman" w:ascii="Times New Roman" w:hAnsi="Times New Roman"/>
                <w:b w:val="false"/>
                <w:vanish w:val="false"/>
                <w:sz w:val="24"/>
                <w:szCs w:val="24"/>
              </w:rPr>
              <w:tab/>
              <w:t>97</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5">
            <w:r>
              <w:rPr>
                <w:webHidden/>
                <w:rStyle w:val="Style31"/>
                <w:rFonts w:cs="Times New Roman" w:ascii="Times New Roman" w:hAnsi="Times New Roman"/>
                <w:b w:val="false"/>
                <w:sz w:val="24"/>
                <w:szCs w:val="24"/>
              </w:rPr>
              <w:t>6.3.</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реконструкции с увеличением диаметра для нормализации гидравлических режимов</w:t>
            </w:r>
            <w:r>
              <w:rPr>
                <w:webHidden/>
              </w:rPr>
              <w:fldChar w:fldCharType="begin"/>
            </w:r>
            <w:r>
              <w:rPr>
                <w:webHidden/>
              </w:rPr>
              <w:instrText xml:space="preserve">PAGEREF _Toc132981695 \h</w:instrText>
            </w:r>
            <w:r>
              <w:rPr>
                <w:webHidden/>
              </w:rPr>
              <w:fldChar w:fldCharType="separate"/>
            </w:r>
            <w:r>
              <w:rPr>
                <w:rStyle w:val="Style31"/>
                <w:rFonts w:cs="Times New Roman" w:ascii="Times New Roman" w:hAnsi="Times New Roman"/>
                <w:b w:val="false"/>
                <w:vanish w:val="false"/>
                <w:sz w:val="24"/>
                <w:szCs w:val="24"/>
              </w:rPr>
              <w:tab/>
              <w:t>98</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6">
            <w:r>
              <w:rPr>
                <w:webHidden/>
                <w:rStyle w:val="Style31"/>
                <w:rFonts w:cs="Times New Roman" w:ascii="Times New Roman" w:hAnsi="Times New Roman"/>
                <w:b w:val="false"/>
                <w:sz w:val="24"/>
                <w:szCs w:val="24"/>
              </w:rPr>
              <w:t>6.4.</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новому строительству для обеспечения надежности</w:t>
            </w:r>
            <w:r>
              <w:rPr>
                <w:webHidden/>
              </w:rPr>
              <w:fldChar w:fldCharType="begin"/>
            </w:r>
            <w:r>
              <w:rPr>
                <w:webHidden/>
              </w:rPr>
              <w:instrText xml:space="preserve">PAGEREF _Toc132981696 \h</w:instrText>
            </w:r>
            <w:r>
              <w:rPr>
                <w:webHidden/>
              </w:rPr>
              <w:fldChar w:fldCharType="separate"/>
            </w:r>
            <w:r>
              <w:rPr>
                <w:rStyle w:val="Style31"/>
                <w:rFonts w:cs="Times New Roman" w:ascii="Times New Roman" w:hAnsi="Times New Roman"/>
                <w:b w:val="false"/>
                <w:vanish w:val="false"/>
                <w:sz w:val="24"/>
                <w:szCs w:val="24"/>
              </w:rPr>
              <w:tab/>
              <w:t>99</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697">
            <w:r>
              <w:rPr>
                <w:webHidden/>
                <w:rStyle w:val="Style31"/>
                <w:rFonts w:cs="Times New Roman" w:ascii="Times New Roman" w:hAnsi="Times New Roman"/>
                <w:b w:val="false"/>
                <w:sz w:val="24"/>
                <w:szCs w:val="24"/>
              </w:rPr>
              <w:t>6.5.</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z w:val="24"/>
                <w:szCs w:val="24"/>
              </w:rPr>
              <w:t>Предложения по новому строительству для обеспечения надежности</w:t>
            </w:r>
            <w:r>
              <w:rPr>
                <w:webHidden/>
              </w:rPr>
              <w:fldChar w:fldCharType="begin"/>
            </w:r>
            <w:r>
              <w:rPr>
                <w:webHidden/>
              </w:rPr>
              <w:instrText xml:space="preserve">PAGEREF _Toc132981697 \h</w:instrText>
            </w:r>
            <w:r>
              <w:rPr>
                <w:webHidden/>
              </w:rPr>
              <w:fldChar w:fldCharType="separate"/>
            </w:r>
            <w:r>
              <w:rPr>
                <w:rStyle w:val="Style31"/>
                <w:rFonts w:cs="Times New Roman" w:ascii="Times New Roman" w:hAnsi="Times New Roman"/>
                <w:b w:val="false"/>
                <w:vanish w:val="false"/>
                <w:sz w:val="24"/>
                <w:szCs w:val="24"/>
              </w:rPr>
              <w:tab/>
              <w:t>99</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98">
            <w:r>
              <w:rPr>
                <w:webHidden/>
                <w:rStyle w:val="Style31"/>
                <w:rFonts w:cs="Times New Roman" w:ascii="Times New Roman" w:hAnsi="Times New Roman"/>
                <w:b w:val="false"/>
              </w:rPr>
              <w:t>Раздел 7. Предложения по переводу открытых систем теплоснабжения (горячего водоснабжения) в закрытые системы горячего водоснабжения</w:t>
            </w:r>
            <w:r>
              <w:rPr>
                <w:webHidden/>
              </w:rPr>
              <w:fldChar w:fldCharType="begin"/>
            </w:r>
            <w:r>
              <w:rPr>
                <w:webHidden/>
              </w:rPr>
              <w:instrText xml:space="preserve">PAGEREF _Toc132981698 \h</w:instrText>
            </w:r>
            <w:r>
              <w:rPr>
                <w:webHidden/>
              </w:rPr>
              <w:fldChar w:fldCharType="separate"/>
            </w:r>
            <w:r>
              <w:rPr>
                <w:rStyle w:val="Style31"/>
                <w:rFonts w:cs="Times New Roman" w:ascii="Times New Roman" w:hAnsi="Times New Roman"/>
                <w:b w:val="false"/>
                <w:vanish w:val="false"/>
              </w:rPr>
              <w:tab/>
              <w:t>100</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699">
            <w:r>
              <w:rPr>
                <w:webHidden/>
                <w:rStyle w:val="Style31"/>
                <w:rFonts w:cs="Times New Roman" w:ascii="Times New Roman" w:hAnsi="Times New Roman"/>
                <w:b w:val="false"/>
              </w:rPr>
              <w:t>Раздел 8. Перспективные топливные балансы</w:t>
            </w:r>
            <w:r>
              <w:rPr>
                <w:webHidden/>
              </w:rPr>
              <w:fldChar w:fldCharType="begin"/>
            </w:r>
            <w:r>
              <w:rPr>
                <w:webHidden/>
              </w:rPr>
              <w:instrText xml:space="preserve">PAGEREF _Toc132981699 \h</w:instrText>
            </w:r>
            <w:r>
              <w:rPr>
                <w:webHidden/>
              </w:rPr>
              <w:fldChar w:fldCharType="separate"/>
            </w:r>
            <w:r>
              <w:rPr>
                <w:rStyle w:val="Style31"/>
                <w:rFonts w:cs="Times New Roman" w:ascii="Times New Roman" w:hAnsi="Times New Roman"/>
                <w:b w:val="false"/>
                <w:vanish w:val="false"/>
              </w:rPr>
              <w:tab/>
              <w:t>124</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0">
            <w:r>
              <w:rPr>
                <w:webHidden/>
                <w:rStyle w:val="Style31"/>
                <w:rFonts w:cs="Times New Roman" w:ascii="Times New Roman" w:hAnsi="Times New Roman"/>
                <w:b w:val="false"/>
              </w:rPr>
              <w:t>Раздел 9. Инвестиции в строительство, реконструкцию, техническое перевооружение и модернизацию</w:t>
            </w:r>
            <w:r>
              <w:rPr>
                <w:webHidden/>
              </w:rPr>
              <w:fldChar w:fldCharType="begin"/>
            </w:r>
            <w:r>
              <w:rPr>
                <w:webHidden/>
              </w:rPr>
              <w:instrText xml:space="preserve">PAGEREF _Toc132981700 \h</w:instrText>
            </w:r>
            <w:r>
              <w:rPr>
                <w:webHidden/>
              </w:rPr>
              <w:fldChar w:fldCharType="separate"/>
            </w:r>
            <w:r>
              <w:rPr>
                <w:rStyle w:val="Style31"/>
                <w:rFonts w:cs="Times New Roman" w:ascii="Times New Roman" w:hAnsi="Times New Roman"/>
                <w:b w:val="false"/>
                <w:vanish w:val="false"/>
              </w:rPr>
              <w:tab/>
              <w:t>127</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1">
            <w:r>
              <w:rPr>
                <w:webHidden/>
                <w:rStyle w:val="Style31"/>
                <w:rFonts w:cs="Times New Roman" w:ascii="Times New Roman" w:hAnsi="Times New Roman"/>
                <w:b w:val="false"/>
              </w:rPr>
              <w:t>Раздел 10. Решение о присвоении статуса единой теплоснабжающей организации (организациям)</w:t>
            </w:r>
            <w:r>
              <w:rPr>
                <w:webHidden/>
              </w:rPr>
              <w:fldChar w:fldCharType="begin"/>
            </w:r>
            <w:r>
              <w:rPr>
                <w:webHidden/>
              </w:rPr>
              <w:instrText xml:space="preserve">PAGEREF _Toc132981701 \h</w:instrText>
            </w:r>
            <w:r>
              <w:rPr>
                <w:webHidden/>
              </w:rPr>
              <w:fldChar w:fldCharType="separate"/>
            </w:r>
            <w:r>
              <w:rPr>
                <w:rStyle w:val="Style31"/>
                <w:rFonts w:cs="Times New Roman" w:ascii="Times New Roman" w:hAnsi="Times New Roman"/>
                <w:b w:val="false"/>
                <w:vanish w:val="false"/>
              </w:rPr>
              <w:tab/>
              <w:t>129</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2">
            <w:r>
              <w:rPr>
                <w:webHidden/>
                <w:rStyle w:val="Style31"/>
                <w:rFonts w:cs="Times New Roman" w:ascii="Times New Roman" w:hAnsi="Times New Roman"/>
                <w:b w:val="false"/>
              </w:rPr>
              <w:t>Раздел 11.  Решения о распределении тепловой нагрузки между источниками тепловой энергии………………….</w:t>
            </w:r>
            <w:r>
              <w:rPr>
                <w:webHidden/>
              </w:rPr>
              <w:fldChar w:fldCharType="begin"/>
            </w:r>
            <w:r>
              <w:rPr>
                <w:webHidden/>
              </w:rPr>
              <w:instrText xml:space="preserve">PAGEREF _Toc132981702 \h</w:instrText>
            </w:r>
            <w:r>
              <w:rPr>
                <w:webHidden/>
              </w:rPr>
              <w:fldChar w:fldCharType="separate"/>
            </w:r>
            <w:r>
              <w:rPr>
                <w:rStyle w:val="Style31"/>
                <w:rFonts w:cs="Times New Roman" w:ascii="Times New Roman" w:hAnsi="Times New Roman"/>
                <w:b w:val="false"/>
                <w:vanish w:val="false"/>
              </w:rPr>
              <w:tab/>
              <w:t>165</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3">
            <w:r>
              <w:rPr>
                <w:webHidden/>
                <w:rStyle w:val="Style31"/>
                <w:rFonts w:cs="Times New Roman" w:ascii="Times New Roman" w:hAnsi="Times New Roman"/>
                <w:b w:val="false"/>
              </w:rPr>
              <w:t>Раздел 12. Решения по бесхозяйным тепловым сетям</w:t>
            </w:r>
            <w:r>
              <w:rPr>
                <w:webHidden/>
              </w:rPr>
              <w:fldChar w:fldCharType="begin"/>
            </w:r>
            <w:r>
              <w:rPr>
                <w:webHidden/>
              </w:rPr>
              <w:instrText xml:space="preserve">PAGEREF _Toc132981703 \h</w:instrText>
            </w:r>
            <w:r>
              <w:rPr>
                <w:webHidden/>
              </w:rPr>
              <w:fldChar w:fldCharType="separate"/>
            </w:r>
            <w:r>
              <w:rPr>
                <w:rStyle w:val="Style31"/>
                <w:rFonts w:cs="Times New Roman" w:ascii="Times New Roman" w:hAnsi="Times New Roman"/>
                <w:b w:val="false"/>
                <w:vanish w:val="false"/>
              </w:rPr>
              <w:tab/>
              <w:t>169</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4">
            <w:r>
              <w:rPr>
                <w:webHidden/>
                <w:rStyle w:val="Style31"/>
                <w:rFonts w:cs="Times New Roman" w:ascii="Times New Roman" w:hAnsi="Times New Roman"/>
                <w:b w:val="false"/>
              </w:rPr>
              <w:t>Раздел 13. Индикаторы развития системы теплоснабжения МО «Город Калуга»</w:t>
            </w:r>
            <w:r>
              <w:rPr>
                <w:webHidden/>
              </w:rPr>
              <w:fldChar w:fldCharType="begin"/>
            </w:r>
            <w:r>
              <w:rPr>
                <w:webHidden/>
              </w:rPr>
              <w:instrText xml:space="preserve">PAGEREF _Toc132981704 \h</w:instrText>
            </w:r>
            <w:r>
              <w:rPr>
                <w:webHidden/>
              </w:rPr>
              <w:fldChar w:fldCharType="separate"/>
            </w:r>
            <w:r>
              <w:rPr>
                <w:rStyle w:val="Style31"/>
                <w:rFonts w:cs="Times New Roman" w:ascii="Times New Roman" w:hAnsi="Times New Roman"/>
                <w:b w:val="false"/>
                <w:vanish w:val="false"/>
              </w:rPr>
              <w:tab/>
              <w:t>179</w:t>
            </w:r>
            <w:r>
              <w:rPr>
                <w:webHidden/>
              </w:rPr>
              <w:fldChar w:fldCharType="end"/>
            </w:r>
          </w:hyperlink>
        </w:p>
        <w:p>
          <w:pPr>
            <w:pStyle w:val="TOC1"/>
            <w:tabs>
              <w:tab w:val="left" w:pos="567" w:leader="none"/>
              <w:tab w:val="left" w:pos="1100" w:leader="none"/>
              <w:tab w:val="right" w:pos="9061" w:leader="dot"/>
            </w:tabs>
            <w:ind w:hanging="0"/>
            <w:rPr>
              <w:rFonts w:ascii="Times New Roman" w:hAnsi="Times New Roman" w:eastAsia="" w:cs="Times New Roman" w:eastAsiaTheme="minorEastAsia"/>
              <w:b w:val="false"/>
              <w:bCs w:val="false"/>
              <w:iCs w:val="false"/>
              <w:spacing w:val="0"/>
              <w:lang w:eastAsia="ru-RU"/>
            </w:rPr>
          </w:pPr>
          <w:hyperlink w:anchor="_Toc132981705">
            <w:r>
              <w:rPr>
                <w:webHidden/>
                <w:rStyle w:val="Style31"/>
                <w:rFonts w:cs="Times New Roman" w:ascii="Times New Roman" w:hAnsi="Times New Roman"/>
                <w:b w:val="false"/>
              </w:rPr>
              <w:t>Раздел 14. Ценовые (тарифные) последствия</w:t>
            </w:r>
            <w:r>
              <w:rPr>
                <w:webHidden/>
              </w:rPr>
              <w:fldChar w:fldCharType="begin"/>
            </w:r>
            <w:r>
              <w:rPr>
                <w:webHidden/>
              </w:rPr>
              <w:instrText xml:space="preserve">PAGEREF _Toc132981705 \h</w:instrText>
            </w:r>
            <w:r>
              <w:rPr>
                <w:webHidden/>
              </w:rPr>
              <w:fldChar w:fldCharType="separate"/>
            </w:r>
            <w:r>
              <w:rPr>
                <w:rStyle w:val="Style31"/>
                <w:rFonts w:cs="Times New Roman" w:ascii="Times New Roman" w:hAnsi="Times New Roman"/>
                <w:b w:val="false"/>
                <w:vanish w:val="false"/>
              </w:rPr>
              <w:tab/>
              <w:t>182</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706">
            <w:r>
              <w:rPr>
                <w:webHidden/>
                <w:rStyle w:val="Style31"/>
                <w:rFonts w:cs="Times New Roman" w:ascii="Times New Roman" w:hAnsi="Times New Roman"/>
                <w:b w:val="false"/>
                <w:sz w:val="24"/>
                <w:szCs w:val="24"/>
              </w:rPr>
              <w:t>Плата за подключение к системе теплоснабжения</w:t>
            </w:r>
            <w:r>
              <w:rPr>
                <w:webHidden/>
              </w:rPr>
              <w:fldChar w:fldCharType="begin"/>
            </w:r>
            <w:r>
              <w:rPr>
                <w:webHidden/>
              </w:rPr>
              <w:instrText xml:space="preserve">PAGEREF _Toc132981706 \h</w:instrText>
            </w:r>
            <w:r>
              <w:rPr>
                <w:webHidden/>
              </w:rPr>
              <w:fldChar w:fldCharType="separate"/>
            </w:r>
            <w:r>
              <w:rPr>
                <w:rStyle w:val="Style31"/>
                <w:rFonts w:cs="Times New Roman" w:ascii="Times New Roman" w:hAnsi="Times New Roman"/>
                <w:b w:val="false"/>
                <w:vanish w:val="false"/>
                <w:sz w:val="24"/>
                <w:szCs w:val="24"/>
              </w:rPr>
              <w:tab/>
              <w:t>225</w:t>
            </w:r>
            <w:r>
              <w:rPr>
                <w:webHidden/>
              </w:rPr>
              <w:fldChar w:fldCharType="end"/>
            </w:r>
          </w:hyperlink>
        </w:p>
        <w:p>
          <w:pPr>
            <w:pStyle w:val="TOC2"/>
            <w:tabs>
              <w:tab w:val="left" w:pos="567" w:leader="none"/>
              <w:tab w:val="left" w:pos="1320" w:leader="none"/>
              <w:tab w:val="right" w:pos="9061" w:leader="dot"/>
            </w:tabs>
            <w:ind w:hanging="0" w:left="0"/>
            <w:rPr>
              <w:rFonts w:ascii="Times New Roman" w:hAnsi="Times New Roman" w:eastAsia="" w:cs="Times New Roman" w:eastAsiaTheme="minorEastAsia"/>
              <w:b w:val="false"/>
              <w:bCs w:val="false"/>
              <w:spacing w:val="0"/>
              <w:sz w:val="24"/>
              <w:szCs w:val="24"/>
              <w:lang w:eastAsia="ru-RU"/>
            </w:rPr>
          </w:pPr>
          <w:hyperlink w:anchor="_Toc132981707">
            <w:r>
              <w:rPr>
                <w:webHidden/>
                <w:rStyle w:val="Style31"/>
                <w:rFonts w:cs="Times New Roman" w:ascii="Times New Roman" w:hAnsi="Times New Roman"/>
                <w:b w:val="false"/>
                <w:spacing w:val="-10"/>
                <w:kern w:val="2"/>
                <w:sz w:val="24"/>
                <w:szCs w:val="24"/>
                <w:lang w:eastAsia="ru-RU"/>
              </w:rPr>
              <w:t>1.1.</w:t>
            </w:r>
            <w:r>
              <w:rPr>
                <w:rStyle w:val="Style31"/>
                <w:rFonts w:eastAsia="" w:cs="Times New Roman" w:ascii="Times New Roman" w:hAnsi="Times New Roman" w:eastAsiaTheme="minorEastAsia"/>
                <w:b w:val="false"/>
                <w:bCs w:val="false"/>
                <w:spacing w:val="0"/>
                <w:sz w:val="24"/>
                <w:szCs w:val="24"/>
                <w:lang w:eastAsia="ru-RU"/>
              </w:rPr>
              <w:tab/>
            </w:r>
            <w:r>
              <w:rPr>
                <w:rStyle w:val="Style31"/>
                <w:rFonts w:cs="Times New Roman" w:ascii="Times New Roman" w:hAnsi="Times New Roman"/>
                <w:b w:val="false"/>
                <w:spacing w:val="-10"/>
                <w:kern w:val="2"/>
                <w:sz w:val="24"/>
                <w:szCs w:val="24"/>
                <w:lang w:eastAsia="ru-RU"/>
              </w:rPr>
              <w:t>Плата за услуги по поддержанию резервной тепловой мощности</w:t>
            </w:r>
            <w:r>
              <w:rPr>
                <w:webHidden/>
              </w:rPr>
              <w:fldChar w:fldCharType="begin"/>
            </w:r>
            <w:r>
              <w:rPr>
                <w:webHidden/>
              </w:rPr>
              <w:instrText xml:space="preserve">PAGEREF _Toc132981707 \h</w:instrText>
            </w:r>
            <w:r>
              <w:rPr>
                <w:webHidden/>
              </w:rPr>
              <w:fldChar w:fldCharType="separate"/>
            </w:r>
            <w:r>
              <w:rPr>
                <w:rStyle w:val="Style31"/>
                <w:rFonts w:cs="Times New Roman" w:ascii="Times New Roman" w:hAnsi="Times New Roman"/>
                <w:b w:val="false"/>
                <w:vanish w:val="false"/>
                <w:sz w:val="24"/>
                <w:szCs w:val="24"/>
              </w:rPr>
              <w:tab/>
              <w:t>228</w:t>
            </w:r>
            <w:r>
              <w:rPr>
                <w:webHidden/>
              </w:rPr>
              <w:fldChar w:fldCharType="end"/>
            </w:r>
          </w:hyperlink>
          <w:r>
            <w:rPr>
              <w:rStyle w:val="Style31"/>
              <w:sz w:val="24"/>
              <w:b w:val="false"/>
              <w:szCs w:val="24"/>
              <w:vanish w:val="false"/>
              <w:rFonts w:cs="Times New Roman" w:ascii="Times New Roman" w:hAnsi="Times New Roman"/>
            </w:rPr>
            <w:fldChar w:fldCharType="end"/>
          </w:r>
        </w:p>
      </w:sdtContent>
    </w:sdt>
    <w:p>
      <w:pPr>
        <w:pStyle w:val="Heading1"/>
        <w:numPr>
          <w:ilvl w:val="0"/>
          <w:numId w:val="0"/>
        </w:numPr>
        <w:tabs>
          <w:tab w:val="clear" w:pos="709"/>
          <w:tab w:val="left" w:pos="567" w:leader="none"/>
          <w:tab w:val="left" w:pos="993" w:leader="none"/>
        </w:tabs>
        <w:spacing w:lineRule="auto" w:line="240" w:before="0" w:after="0"/>
        <w:ind w:hanging="0" w:left="0"/>
        <w:jc w:val="both"/>
        <w:rPr>
          <w:b/>
        </w:rPr>
      </w:pPr>
      <w:bookmarkStart w:id="61" w:name="_Toc132981663"/>
      <w:r>
        <w:rPr>
          <w:b/>
        </w:rPr>
        <w:t>Перечень таблиц</w:t>
      </w:r>
      <w:bookmarkEnd w:id="61"/>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r>
        <w:fldChar w:fldCharType="begin"/>
      </w:r>
      <w:r>
        <w:rPr>
          <w:rStyle w:val="Style31"/>
          <w:sz w:val="24"/>
          <w:i w:val="false"/>
          <w:szCs w:val="24"/>
          <w:bCs/>
          <w:rFonts w:eastAsia="Microsoft YaHei"/>
        </w:rPr>
        <w:instrText xml:space="preserve"> TOC \c "Таблица" \h </w:instrText>
      </w:r>
      <w:r>
        <w:rPr>
          <w:rStyle w:val="Style31"/>
          <w:sz w:val="24"/>
          <w:i w:val="false"/>
          <w:szCs w:val="24"/>
          <w:bCs/>
          <w:rFonts w:eastAsia="Microsoft YaHei"/>
        </w:rPr>
        <w:fldChar w:fldCharType="separate"/>
      </w:r>
      <w:hyperlink w:anchor="_Toc132971360">
        <w:r>
          <w:rPr>
            <w:rStyle w:val="Style31"/>
            <w:rFonts w:eastAsia="Microsoft YaHei"/>
            <w:bCs/>
            <w:i w:val="false"/>
            <w:sz w:val="24"/>
            <w:szCs w:val="24"/>
          </w:rPr>
          <w:t>Таблица 1.1. Изменение величины жилищного фонда  в период до 2030 г.</w:t>
        </w:r>
        <w:r>
          <w:rPr>
            <w:webHidden/>
          </w:rPr>
          <w:fldChar w:fldCharType="begin"/>
        </w:r>
        <w:r>
          <w:rPr>
            <w:webHidden/>
          </w:rPr>
          <w:instrText xml:space="preserve">PAGEREF _Toc132971360 \h</w:instrText>
        </w:r>
        <w:r>
          <w:rPr>
            <w:webHidden/>
          </w:rPr>
          <w:fldChar w:fldCharType="separate"/>
        </w:r>
        <w:r>
          <w:rPr>
            <w:rStyle w:val="Style31"/>
            <w:i w:val="false"/>
            <w:vanish w:val="false"/>
            <w:sz w:val="24"/>
            <w:szCs w:val="24"/>
          </w:rPr>
          <w:tab/>
          <w:t>16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1">
        <w:r>
          <w:rPr>
            <w:rStyle w:val="Style31"/>
            <w:rFonts w:eastAsia="Microsoft YaHei"/>
            <w:bCs/>
            <w:i w:val="false"/>
            <w:sz w:val="24"/>
            <w:szCs w:val="24"/>
          </w:rPr>
          <w:t>Таблица 1.2. Прирост тепловой нагрузки при вводе новой застройки на период до 2030 г.  (Гкал/ч)</w:t>
        </w:r>
        <w:r>
          <w:rPr>
            <w:webHidden/>
          </w:rPr>
          <w:fldChar w:fldCharType="begin"/>
        </w:r>
        <w:r>
          <w:rPr>
            <w:webHidden/>
          </w:rPr>
          <w:instrText xml:space="preserve">PAGEREF _Toc132971361 \h</w:instrText>
        </w:r>
        <w:r>
          <w:rPr>
            <w:webHidden/>
          </w:rPr>
          <w:fldChar w:fldCharType="separate"/>
        </w:r>
        <w:r>
          <w:rPr>
            <w:rStyle w:val="Style31"/>
            <w:i w:val="false"/>
            <w:vanish w:val="false"/>
            <w:sz w:val="24"/>
            <w:szCs w:val="24"/>
          </w:rPr>
          <w:tab/>
          <w:t>22</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2">
        <w:r>
          <w:rPr>
            <w:rStyle w:val="Style31"/>
            <w:rFonts w:eastAsia="Microsoft YaHei"/>
            <w:bCs/>
            <w:i w:val="false"/>
            <w:sz w:val="24"/>
            <w:szCs w:val="24"/>
          </w:rPr>
          <w:t>Таблица 1.3. Прирост теплопотребления при вводе новой застройки на период до 2030 г.  (тыс. Гкал)</w:t>
        </w:r>
        <w:r>
          <w:rPr>
            <w:webHidden/>
          </w:rPr>
          <w:fldChar w:fldCharType="begin"/>
        </w:r>
        <w:r>
          <w:rPr>
            <w:webHidden/>
          </w:rPr>
          <w:instrText xml:space="preserve">PAGEREF _Toc132971362 \h</w:instrText>
        </w:r>
        <w:r>
          <w:rPr>
            <w:webHidden/>
          </w:rPr>
          <w:fldChar w:fldCharType="separate"/>
        </w:r>
        <w:r>
          <w:rPr>
            <w:rStyle w:val="Style31"/>
            <w:i w:val="false"/>
            <w:vanish w:val="false"/>
            <w:sz w:val="24"/>
            <w:szCs w:val="24"/>
          </w:rPr>
          <w:tab/>
          <w:t>24</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3">
        <w:r>
          <w:rPr>
            <w:rStyle w:val="Style31"/>
            <w:rFonts w:eastAsia="Microsoft YaHei"/>
            <w:bCs/>
            <w:i w:val="false"/>
            <w:sz w:val="24"/>
            <w:szCs w:val="24"/>
          </w:rPr>
          <w:t>Таблица 1.4. Cуществующие и переспективные показателяи работы теплоснабжающих и теплосетевых организаций</w:t>
        </w:r>
        <w:r>
          <w:rPr>
            <w:webHidden/>
          </w:rPr>
          <w:fldChar w:fldCharType="begin"/>
        </w:r>
        <w:r>
          <w:rPr>
            <w:webHidden/>
          </w:rPr>
          <w:instrText xml:space="preserve">PAGEREF _Toc132971363 \h</w:instrText>
        </w:r>
        <w:r>
          <w:rPr>
            <w:webHidden/>
          </w:rPr>
          <w:fldChar w:fldCharType="separate"/>
        </w:r>
        <w:r>
          <w:rPr>
            <w:rStyle w:val="Style31"/>
            <w:i w:val="false"/>
            <w:vanish w:val="false"/>
            <w:sz w:val="24"/>
            <w:szCs w:val="24"/>
          </w:rPr>
          <w:tab/>
          <w:t>26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4">
        <w:r>
          <w:rPr>
            <w:rStyle w:val="Style31"/>
            <w:rFonts w:eastAsia="Microsoft YaHei"/>
            <w:bCs/>
            <w:i w:val="false"/>
            <w:sz w:val="24"/>
            <w:szCs w:val="24"/>
          </w:rPr>
          <w:t xml:space="preserve">Таблица 1.5. Отпуск тепловой энергии </w:t>
        </w:r>
        <w:r>
          <w:rPr>
            <w:rStyle w:val="Style31"/>
            <w:rFonts w:eastAsia="Microsoft YaHei"/>
            <w:bCs/>
            <w:i w:val="false"/>
            <w:sz w:val="24"/>
            <w:szCs w:val="24"/>
            <w:lang w:val="ru-RU"/>
          </w:rPr>
          <w:t>АО</w:t>
        </w:r>
        <w:r>
          <w:rPr>
            <w:rStyle w:val="Style31"/>
            <w:rFonts w:eastAsia="Microsoft YaHei"/>
            <w:bCs/>
            <w:i w:val="false"/>
            <w:sz w:val="24"/>
            <w:szCs w:val="24"/>
          </w:rPr>
          <w:t xml:space="preserve"> «КВАДРА»</w:t>
        </w:r>
        <w:r>
          <w:rPr>
            <w:rStyle w:val="Style31"/>
            <w:rFonts w:eastAsia="Microsoft YaHei"/>
            <w:bCs/>
            <w:i w:val="false"/>
            <w:sz w:val="24"/>
            <w:szCs w:val="24"/>
            <w:lang w:val="ru-RU"/>
          </w:rPr>
          <w:t xml:space="preserve"> «Калужская генерация»</w:t>
        </w:r>
        <w:r>
          <w:rPr>
            <w:webHidden/>
          </w:rPr>
          <w:fldChar w:fldCharType="begin"/>
        </w:r>
        <w:r>
          <w:rPr>
            <w:webHidden/>
          </w:rPr>
          <w:instrText xml:space="preserve">PAGEREF _Toc132971364 \h</w:instrText>
        </w:r>
        <w:r>
          <w:rPr>
            <w:webHidden/>
          </w:rPr>
          <w:fldChar w:fldCharType="separate"/>
        </w:r>
        <w:r>
          <w:rPr>
            <w:rStyle w:val="Style31"/>
            <w:i w:val="false"/>
            <w:vanish w:val="false"/>
            <w:sz w:val="24"/>
            <w:szCs w:val="24"/>
          </w:rPr>
          <w:tab/>
          <w:t>28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5">
        <w:r>
          <w:rPr>
            <w:rStyle w:val="Style31"/>
            <w:rFonts w:eastAsia="Microsoft YaHei"/>
            <w:bCs/>
            <w:i w:val="false"/>
            <w:sz w:val="24"/>
            <w:szCs w:val="24"/>
          </w:rPr>
          <w:t>Таблица 1.6. Отпуск теплоносителя энергии АО «КВАДРА» «Калужская генерация»</w:t>
        </w:r>
        <w:r>
          <w:rPr>
            <w:webHidden/>
          </w:rPr>
          <w:fldChar w:fldCharType="begin"/>
        </w:r>
        <w:r>
          <w:rPr>
            <w:webHidden/>
          </w:rPr>
          <w:instrText xml:space="preserve">PAGEREF _Toc132971365 \h</w:instrText>
        </w:r>
        <w:r>
          <w:rPr>
            <w:webHidden/>
          </w:rPr>
          <w:fldChar w:fldCharType="separate"/>
        </w:r>
        <w:r>
          <w:rPr>
            <w:rStyle w:val="Style31"/>
            <w:i w:val="false"/>
            <w:vanish w:val="false"/>
            <w:sz w:val="24"/>
            <w:szCs w:val="24"/>
          </w:rPr>
          <w:tab/>
          <w:t>28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6">
        <w:r>
          <w:rPr>
            <w:rStyle w:val="Style31"/>
            <w:rFonts w:eastAsia="Microsoft YaHei"/>
            <w:bCs/>
            <w:i w:val="false"/>
            <w:sz w:val="24"/>
            <w:szCs w:val="24"/>
          </w:rPr>
          <w:t>Таблица 2.1– Перспективный радиус эффективного теплоснабжения, км</w:t>
        </w:r>
        <w:r>
          <w:rPr>
            <w:webHidden/>
          </w:rPr>
          <w:fldChar w:fldCharType="begin"/>
        </w:r>
        <w:r>
          <w:rPr>
            <w:webHidden/>
          </w:rPr>
          <w:instrText xml:space="preserve">PAGEREF _Toc132971366 \h</w:instrText>
        </w:r>
        <w:r>
          <w:rPr>
            <w:webHidden/>
          </w:rPr>
          <w:fldChar w:fldCharType="separate"/>
        </w:r>
        <w:r>
          <w:rPr>
            <w:rStyle w:val="Style31"/>
            <w:i w:val="false"/>
            <w:vanish w:val="false"/>
            <w:sz w:val="24"/>
            <w:szCs w:val="24"/>
          </w:rPr>
          <w:tab/>
          <w:t>29</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7">
        <w:r>
          <w:rPr>
            <w:rStyle w:val="Style31"/>
            <w:rFonts w:eastAsia="Microsoft YaHei"/>
            <w:bCs/>
            <w:i w:val="false"/>
            <w:sz w:val="24"/>
            <w:szCs w:val="24"/>
          </w:rPr>
          <w:t>Таблица 3.1. Суммарные объемы теплоносителя по МО «Город Калуга»</w:t>
        </w:r>
        <w:r>
          <w:rPr>
            <w:webHidden/>
          </w:rPr>
          <w:fldChar w:fldCharType="begin"/>
        </w:r>
        <w:r>
          <w:rPr>
            <w:webHidden/>
          </w:rPr>
          <w:instrText xml:space="preserve">PAGEREF _Toc132971367 \h</w:instrText>
        </w:r>
        <w:r>
          <w:rPr>
            <w:webHidden/>
          </w:rPr>
          <w:fldChar w:fldCharType="separate"/>
        </w:r>
        <w:r>
          <w:rPr>
            <w:rStyle w:val="Style31"/>
            <w:i w:val="false"/>
            <w:vanish w:val="false"/>
            <w:sz w:val="24"/>
            <w:szCs w:val="24"/>
          </w:rPr>
          <w:tab/>
          <w:t>39</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8">
        <w:r>
          <w:rPr>
            <w:rStyle w:val="Style31"/>
            <w:rFonts w:eastAsia="Microsoft YaHei"/>
            <w:bCs/>
            <w:i w:val="false"/>
            <w:sz w:val="24"/>
            <w:szCs w:val="24"/>
          </w:rPr>
          <w:t>Таблица 3.2. Суммарный перспективный баланс ВПУ и потребления теплоносителя по МО «Город Калуга»</w:t>
        </w:r>
        <w:r>
          <w:rPr>
            <w:webHidden/>
          </w:rPr>
          <w:fldChar w:fldCharType="begin"/>
        </w:r>
        <w:r>
          <w:rPr>
            <w:webHidden/>
          </w:rPr>
          <w:instrText xml:space="preserve">PAGEREF _Toc132971368 \h</w:instrText>
        </w:r>
        <w:r>
          <w:rPr>
            <w:webHidden/>
          </w:rPr>
          <w:fldChar w:fldCharType="separate"/>
        </w:r>
        <w:r>
          <w:rPr>
            <w:rStyle w:val="Style31"/>
            <w:i w:val="false"/>
            <w:vanish w:val="false"/>
            <w:sz w:val="24"/>
            <w:szCs w:val="24"/>
          </w:rPr>
          <w:tab/>
          <w:t>41</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9">
        <w:r>
          <w:rPr>
            <w:rStyle w:val="Style31"/>
            <w:rFonts w:eastAsia="Microsoft YaHei"/>
            <w:i w:val="false"/>
            <w:sz w:val="24"/>
            <w:szCs w:val="24"/>
          </w:rPr>
          <w:t>Таблица 3.3. Расчет необходимой аварийной подпитки в соответствии со СНиП 41-02-2003 «Тепловые сети»</w:t>
        </w:r>
        <w:r>
          <w:rPr>
            <w:webHidden/>
          </w:rPr>
          <w:fldChar w:fldCharType="begin"/>
        </w:r>
        <w:r>
          <w:rPr>
            <w:webHidden/>
          </w:rPr>
          <w:instrText xml:space="preserve">PAGEREF _Toc132971369 \h</w:instrText>
        </w:r>
        <w:r>
          <w:rPr>
            <w:webHidden/>
          </w:rPr>
          <w:fldChar w:fldCharType="separate"/>
        </w:r>
        <w:r>
          <w:rPr>
            <w:rStyle w:val="Style31"/>
            <w:i w:val="false"/>
            <w:vanish w:val="false"/>
            <w:sz w:val="24"/>
            <w:szCs w:val="24"/>
          </w:rPr>
          <w:tab/>
          <w:t>42</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0">
        <w:r>
          <w:rPr>
            <w:rStyle w:val="Style31"/>
            <w:rFonts w:eastAsia="Microsoft YaHei"/>
            <w:i w:val="false"/>
            <w:sz w:val="24"/>
            <w:szCs w:val="24"/>
          </w:rPr>
          <w:t>Таблица 3.4. Сводные капитальные затраты на установку БИТП</w:t>
        </w:r>
        <w:r>
          <w:rPr>
            <w:webHidden/>
          </w:rPr>
          <w:fldChar w:fldCharType="begin"/>
        </w:r>
        <w:r>
          <w:rPr>
            <w:webHidden/>
          </w:rPr>
          <w:instrText xml:space="preserve">PAGEREF _Toc132971370 \h</w:instrText>
        </w:r>
        <w:r>
          <w:rPr>
            <w:webHidden/>
          </w:rPr>
          <w:fldChar w:fldCharType="separate"/>
        </w:r>
        <w:r>
          <w:rPr>
            <w:rStyle w:val="Style31"/>
            <w:i w:val="false"/>
            <w:vanish w:val="false"/>
            <w:sz w:val="24"/>
            <w:szCs w:val="24"/>
          </w:rPr>
          <w:tab/>
          <w:t>45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1">
        <w:r>
          <w:rPr>
            <w:rStyle w:val="Style31"/>
            <w:rFonts w:eastAsia="Microsoft YaHei"/>
            <w:bCs/>
            <w:i w:val="false"/>
            <w:sz w:val="24"/>
            <w:szCs w:val="24"/>
          </w:rPr>
          <w:t xml:space="preserve">Таблица 4.1. Перспективный баланс тепловой мощности ТЭЦ  </w:t>
        </w:r>
        <w:r>
          <w:rPr>
            <w:rStyle w:val="Style31"/>
            <w:rFonts w:eastAsia="Microsoft YaHei"/>
            <w:bCs/>
            <w:i w:val="false"/>
            <w:sz w:val="24"/>
            <w:szCs w:val="24"/>
            <w:lang w:val="ru-RU"/>
          </w:rPr>
          <w:t xml:space="preserve">АО «КВАДРА» «Калужская генерация» </w:t>
        </w:r>
        <w:r>
          <w:rPr>
            <w:rStyle w:val="Style31"/>
            <w:rFonts w:eastAsia="Microsoft YaHei"/>
            <w:bCs/>
            <w:i w:val="false"/>
            <w:sz w:val="24"/>
            <w:szCs w:val="24"/>
          </w:rPr>
          <w:t>и тепловой нагрузки потребителей</w:t>
        </w:r>
        <w:r>
          <w:rPr>
            <w:webHidden/>
          </w:rPr>
          <w:fldChar w:fldCharType="begin"/>
        </w:r>
        <w:r>
          <w:rPr>
            <w:webHidden/>
          </w:rPr>
          <w:instrText xml:space="preserve">PAGEREF _Toc132971371 \h</w:instrText>
        </w:r>
        <w:r>
          <w:rPr>
            <w:webHidden/>
          </w:rPr>
          <w:fldChar w:fldCharType="separate"/>
        </w:r>
        <w:r>
          <w:rPr>
            <w:rStyle w:val="Style31"/>
            <w:i w:val="false"/>
            <w:vanish w:val="false"/>
            <w:sz w:val="24"/>
            <w:szCs w:val="24"/>
          </w:rPr>
          <w:tab/>
          <w:t>60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2">
        <w:r>
          <w:rPr>
            <w:rStyle w:val="Style31"/>
            <w:rFonts w:eastAsia="Microsoft YaHei"/>
            <w:bCs/>
            <w:i w:val="false"/>
            <w:sz w:val="24"/>
            <w:szCs w:val="24"/>
          </w:rPr>
          <w:t>Таблица 4.2. Перспективный баланс тепловой мощности котельных МО «Город Калуга» и тепловой нагрузки потребителей</w:t>
        </w:r>
        <w:r>
          <w:rPr>
            <w:webHidden/>
          </w:rPr>
          <w:fldChar w:fldCharType="begin"/>
        </w:r>
        <w:r>
          <w:rPr>
            <w:webHidden/>
          </w:rPr>
          <w:instrText xml:space="preserve">PAGEREF _Toc132971372 \h</w:instrText>
        </w:r>
        <w:r>
          <w:rPr>
            <w:webHidden/>
          </w:rPr>
          <w:fldChar w:fldCharType="separate"/>
        </w:r>
        <w:r>
          <w:rPr>
            <w:rStyle w:val="Style31"/>
            <w:i w:val="false"/>
            <w:vanish w:val="false"/>
            <w:sz w:val="24"/>
            <w:szCs w:val="24"/>
          </w:rPr>
          <w:tab/>
          <w:t>61</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3">
        <w:r>
          <w:rPr>
            <w:rStyle w:val="Style31"/>
            <w:rFonts w:eastAsia="Microsoft YaHei"/>
            <w:bCs/>
            <w:i w:val="false"/>
            <w:sz w:val="24"/>
            <w:szCs w:val="24"/>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Pr>
            <w:webHidden/>
          </w:rPr>
          <w:fldChar w:fldCharType="begin"/>
        </w:r>
        <w:r>
          <w:rPr>
            <w:webHidden/>
          </w:rPr>
          <w:instrText xml:space="preserve">PAGEREF _Toc132971373 \h</w:instrText>
        </w:r>
        <w:r>
          <w:rPr>
            <w:webHidden/>
          </w:rPr>
          <w:fldChar w:fldCharType="separate"/>
        </w:r>
        <w:r>
          <w:rPr>
            <w:rStyle w:val="Style31"/>
            <w:i w:val="false"/>
            <w:vanish w:val="false"/>
            <w:sz w:val="24"/>
            <w:szCs w:val="24"/>
          </w:rPr>
          <w:tab/>
          <w:t>80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4">
        <w:r>
          <w:rPr>
            <w:rStyle w:val="Style31"/>
            <w:rFonts w:eastAsia="Microsoft YaHei"/>
            <w:i w:val="false"/>
            <w:sz w:val="24"/>
            <w:szCs w:val="24"/>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Pr>
            <w:webHidden/>
          </w:rPr>
          <w:fldChar w:fldCharType="begin"/>
        </w:r>
        <w:r>
          <w:rPr>
            <w:webHidden/>
          </w:rPr>
          <w:instrText xml:space="preserve">PAGEREF _Toc132971374 \h</w:instrText>
        </w:r>
        <w:r>
          <w:rPr>
            <w:webHidden/>
          </w:rPr>
          <w:fldChar w:fldCharType="separate"/>
        </w:r>
        <w:r>
          <w:rPr>
            <w:rStyle w:val="Style31"/>
            <w:i w:val="false"/>
            <w:vanish w:val="false"/>
            <w:sz w:val="24"/>
            <w:szCs w:val="24"/>
          </w:rPr>
          <w:tab/>
          <w:t>88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5">
        <w:r>
          <w:rPr>
            <w:rStyle w:val="Style31"/>
            <w:rFonts w:eastAsia="Microsoft YaHei"/>
            <w:i w:val="false"/>
            <w:sz w:val="24"/>
            <w:szCs w:val="24"/>
          </w:rPr>
          <w:t>Таблица 5.2.  Предложения по установке ГПА</w:t>
        </w:r>
        <w:r>
          <w:rPr>
            <w:webHidden/>
          </w:rPr>
          <w:fldChar w:fldCharType="begin"/>
        </w:r>
        <w:r>
          <w:rPr>
            <w:webHidden/>
          </w:rPr>
          <w:instrText xml:space="preserve">PAGEREF _Toc132971375 \h</w:instrText>
        </w:r>
        <w:r>
          <w:rPr>
            <w:webHidden/>
          </w:rPr>
          <w:fldChar w:fldCharType="separate"/>
        </w:r>
        <w:r>
          <w:rPr>
            <w:rStyle w:val="Style31"/>
            <w:i w:val="false"/>
            <w:vanish w:val="false"/>
            <w:sz w:val="24"/>
            <w:szCs w:val="24"/>
          </w:rPr>
          <w:tab/>
          <w:t>89</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6">
        <w:r>
          <w:rPr>
            <w:rStyle w:val="Style31"/>
            <w:rFonts w:eastAsia="Microsoft YaHei"/>
            <w:i w:val="false"/>
            <w:sz w:val="24"/>
            <w:szCs w:val="24"/>
          </w:rPr>
          <w:t>Таблица 5.3. Предложения по модернизации и реконструкции теплоисточников</w:t>
        </w:r>
        <w:r>
          <w:rPr>
            <w:webHidden/>
          </w:rPr>
          <w:fldChar w:fldCharType="begin"/>
        </w:r>
        <w:r>
          <w:rPr>
            <w:webHidden/>
          </w:rPr>
          <w:instrText xml:space="preserve">PAGEREF _Toc132971376 \h</w:instrText>
        </w:r>
        <w:r>
          <w:rPr>
            <w:webHidden/>
          </w:rPr>
          <w:fldChar w:fldCharType="separate"/>
        </w:r>
        <w:r>
          <w:rPr>
            <w:rStyle w:val="Style31"/>
            <w:i w:val="false"/>
            <w:vanish w:val="false"/>
            <w:sz w:val="24"/>
            <w:szCs w:val="24"/>
          </w:rPr>
          <w:tab/>
          <w:t>90</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77">
        <w:r>
          <w:rPr>
            <w:rStyle w:val="Style31"/>
            <w:rFonts w:eastAsia="Microsoft YaHei"/>
            <w:i w:val="false"/>
            <w:sz w:val="24"/>
            <w:szCs w:val="24"/>
          </w:rPr>
          <w:t>Таблица 5.4. Предложения по переоборудованию котельной в ЦТП при выводе теплоисточника из эксплуатации</w:t>
        </w:r>
        <w:r>
          <w:rPr>
            <w:webHidden/>
          </w:rPr>
          <w:fldChar w:fldCharType="begin"/>
        </w:r>
        <w:r>
          <w:rPr>
            <w:webHidden/>
          </w:rPr>
          <w:instrText xml:space="preserve">PAGEREF _Toc132971377 \h</w:instrText>
        </w:r>
        <w:r>
          <w:rPr>
            <w:webHidden/>
          </w:rPr>
          <w:fldChar w:fldCharType="separate"/>
        </w:r>
        <w:r>
          <w:rPr>
            <w:rStyle w:val="Style31"/>
            <w:i w:val="false"/>
            <w:vanish w:val="false"/>
            <w:sz w:val="24"/>
            <w:szCs w:val="24"/>
          </w:rPr>
          <w:tab/>
          <w:t>92</w:t>
        </w:r>
        <w:r>
          <w:rPr>
            <w:webHidden/>
          </w:rPr>
          <w:fldChar w:fldCharType="end"/>
        </w:r>
      </w:hyperlink>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5.5. Реконструкция насосных станций (устройство ЦТП)………………………….94</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5.6. Предложения по реконструкции  оборудования энергоисточников…………..94</w:t>
      </w:r>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8">
        <w:r>
          <w:rPr>
            <w:rStyle w:val="Style31"/>
            <w:rFonts w:eastAsia="Microsoft YaHei"/>
            <w:i w:val="false"/>
            <w:sz w:val="24"/>
            <w:szCs w:val="24"/>
          </w:rPr>
          <w:t>Таблица 6.1.  Предложения по новому строительству для объединения котельных</w:t>
        </w:r>
        <w:r>
          <w:rPr>
            <w:webHidden/>
          </w:rPr>
          <w:fldChar w:fldCharType="begin"/>
        </w:r>
        <w:r>
          <w:rPr>
            <w:webHidden/>
          </w:rPr>
          <w:instrText xml:space="preserve">PAGEREF _Toc132971378 \h</w:instrText>
        </w:r>
        <w:r>
          <w:rPr>
            <w:webHidden/>
          </w:rPr>
          <w:fldChar w:fldCharType="separate"/>
        </w:r>
        <w:r>
          <w:rPr>
            <w:rStyle w:val="Style31"/>
            <w:i w:val="false"/>
            <w:vanish w:val="false"/>
            <w:sz w:val="24"/>
            <w:szCs w:val="24"/>
          </w:rPr>
          <w:tab/>
          <w:t>97</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9">
        <w:r>
          <w:rPr>
            <w:rStyle w:val="Style31"/>
            <w:rFonts w:eastAsia="Microsoft YaHei"/>
            <w:i w:val="false"/>
            <w:sz w:val="24"/>
            <w:szCs w:val="24"/>
          </w:rPr>
          <w:t xml:space="preserve">Таблица 6.2.  Предложения по реконструкции с </w:t>
        </w:r>
        <w:r>
          <w:rPr>
            <w:rStyle w:val="Style31"/>
            <w:rFonts w:eastAsia="Microsoft YaHei"/>
            <w:i w:val="false"/>
            <w:sz w:val="24"/>
            <w:szCs w:val="24"/>
            <w:u w:val="none"/>
          </w:rPr>
          <w:t>увеличением</w:t>
        </w:r>
        <w:r>
          <w:rPr>
            <w:rStyle w:val="Style31"/>
            <w:rFonts w:eastAsia="Microsoft YaHei"/>
            <w:i w:val="false"/>
            <w:sz w:val="24"/>
            <w:szCs w:val="24"/>
          </w:rPr>
          <w:t xml:space="preserve"> диаметра для нормализации гидравлических режимов</w:t>
        </w:r>
        <w:r>
          <w:rPr>
            <w:webHidden/>
          </w:rPr>
          <w:fldChar w:fldCharType="begin"/>
        </w:r>
        <w:r>
          <w:rPr>
            <w:webHidden/>
          </w:rPr>
          <w:instrText xml:space="preserve">PAGEREF _Toc132971379 \h</w:instrText>
        </w:r>
        <w:r>
          <w:rPr>
            <w:webHidden/>
          </w:rPr>
          <w:fldChar w:fldCharType="separate"/>
        </w:r>
        <w:r>
          <w:rPr>
            <w:rStyle w:val="Style31"/>
            <w:i w:val="false"/>
            <w:vanish w:val="false"/>
            <w:sz w:val="24"/>
            <w:szCs w:val="24"/>
          </w:rPr>
          <w:tab/>
          <w:t>98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0">
        <w:r>
          <w:rPr>
            <w:rStyle w:val="Style31"/>
            <w:rFonts w:eastAsia="Microsoft YaHei"/>
            <w:i w:val="false"/>
            <w:sz w:val="24"/>
            <w:szCs w:val="24"/>
          </w:rPr>
          <w:t>Таблица 6.3.  Предложения по новому строительству для обеспечения надежности</w:t>
        </w:r>
        <w:r>
          <w:rPr>
            <w:webHidden/>
          </w:rPr>
          <w:fldChar w:fldCharType="begin"/>
        </w:r>
        <w:r>
          <w:rPr>
            <w:webHidden/>
          </w:rPr>
          <w:instrText xml:space="preserve">PAGEREF _Toc132971380 \h</w:instrText>
        </w:r>
        <w:r>
          <w:rPr>
            <w:webHidden/>
          </w:rPr>
          <w:fldChar w:fldCharType="separate"/>
        </w:r>
        <w:r>
          <w:rPr>
            <w:rStyle w:val="Style31"/>
            <w:i w:val="false"/>
            <w:vanish w:val="false"/>
            <w:sz w:val="24"/>
            <w:szCs w:val="24"/>
          </w:rPr>
          <w:tab/>
          <w:t>99</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1">
        <w:r>
          <w:rPr>
            <w:rStyle w:val="Style31"/>
            <w:rFonts w:eastAsia="Microsoft YaHei"/>
            <w:i w:val="false"/>
            <w:sz w:val="24"/>
            <w:szCs w:val="24"/>
          </w:rPr>
          <w:t>Таблица 7.1.  Расчет стоимости реконструкции системы теплоснабжения с открытой на закрытую</w:t>
        </w:r>
        <w:r>
          <w:rPr>
            <w:webHidden/>
          </w:rPr>
          <w:fldChar w:fldCharType="begin"/>
        </w:r>
        <w:r>
          <w:rPr>
            <w:webHidden/>
          </w:rPr>
          <w:instrText xml:space="preserve">PAGEREF _Toc132971381 \h</w:instrText>
        </w:r>
        <w:r>
          <w:rPr>
            <w:webHidden/>
          </w:rPr>
          <w:fldChar w:fldCharType="separate"/>
        </w:r>
        <w:r>
          <w:rPr>
            <w:rStyle w:val="Style31"/>
            <w:i w:val="false"/>
            <w:vanish w:val="false"/>
            <w:sz w:val="24"/>
            <w:szCs w:val="24"/>
          </w:rPr>
          <w:tab/>
          <w:t>107</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2">
        <w:r>
          <w:rPr>
            <w:rStyle w:val="Style31"/>
            <w:rFonts w:eastAsia="Microsoft YaHei"/>
            <w:i w:val="false"/>
            <w:sz w:val="24"/>
            <w:szCs w:val="24"/>
          </w:rPr>
          <w:t>Таблица 8.1.  Суммарный баланс основного топлива по источникам муниципального образования «Город Калуга»</w:t>
        </w:r>
        <w:r>
          <w:rPr>
            <w:webHidden/>
          </w:rPr>
          <w:fldChar w:fldCharType="begin"/>
        </w:r>
        <w:r>
          <w:rPr>
            <w:webHidden/>
          </w:rPr>
          <w:instrText xml:space="preserve">PAGEREF _Toc132971382 \h</w:instrText>
        </w:r>
        <w:r>
          <w:rPr>
            <w:webHidden/>
          </w:rPr>
          <w:fldChar w:fldCharType="separate"/>
        </w:r>
        <w:r>
          <w:rPr>
            <w:rStyle w:val="Style31"/>
            <w:i w:val="false"/>
            <w:vanish w:val="false"/>
            <w:sz w:val="24"/>
            <w:szCs w:val="24"/>
          </w:rPr>
          <w:tab/>
          <w:t>125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3">
        <w:r>
          <w:rPr>
            <w:rStyle w:val="Style31"/>
            <w:rFonts w:eastAsia="Microsoft YaHei"/>
            <w:i w:val="false"/>
            <w:sz w:val="24"/>
            <w:szCs w:val="24"/>
          </w:rPr>
          <w:t>Таблица 8.2. Баланс по резервному топливу для ТЭЦ АО «КВАДРА» «Калужская генерация» на перспективу до 2028 года</w:t>
        </w:r>
        <w:r>
          <w:rPr>
            <w:webHidden/>
          </w:rPr>
          <w:fldChar w:fldCharType="begin"/>
        </w:r>
        <w:r>
          <w:rPr>
            <w:webHidden/>
          </w:rPr>
          <w:instrText xml:space="preserve">PAGEREF _Toc132971383 \h</w:instrText>
        </w:r>
        <w:r>
          <w:rPr>
            <w:webHidden/>
          </w:rPr>
          <w:fldChar w:fldCharType="separate"/>
        </w:r>
        <w:r>
          <w:rPr>
            <w:rStyle w:val="Style31"/>
            <w:i w:val="false"/>
            <w:vanish w:val="false"/>
            <w:sz w:val="24"/>
            <w:szCs w:val="24"/>
          </w:rPr>
          <w:tab/>
          <w:t>125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4">
        <w:r>
          <w:rPr>
            <w:rStyle w:val="Style31"/>
            <w:rFonts w:eastAsia="Microsoft YaHei"/>
            <w:bCs/>
            <w:i w:val="false"/>
            <w:sz w:val="24"/>
            <w:szCs w:val="24"/>
          </w:rPr>
          <w:t>Таблица 9.1 – Капитальные затраты по группам  проектов по развитию системы теплоснабжения (млн. руб. с учетом НДС в ценах соответствующих лет)</w:t>
        </w:r>
        <w:r>
          <w:rPr>
            <w:webHidden/>
          </w:rPr>
          <w:fldChar w:fldCharType="begin"/>
        </w:r>
        <w:r>
          <w:rPr>
            <w:webHidden/>
          </w:rPr>
          <w:instrText xml:space="preserve">PAGEREF _Toc132971384 \h</w:instrText>
        </w:r>
        <w:r>
          <w:rPr>
            <w:webHidden/>
          </w:rPr>
          <w:fldChar w:fldCharType="separate"/>
        </w:r>
        <w:r>
          <w:rPr>
            <w:rStyle w:val="Style31"/>
            <w:i w:val="false"/>
            <w:vanish w:val="false"/>
            <w:sz w:val="24"/>
            <w:szCs w:val="24"/>
          </w:rPr>
          <w:tab/>
          <w:t>128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5">
        <w:r>
          <w:rPr>
            <w:rStyle w:val="Style31"/>
            <w:rFonts w:eastAsia="Microsoft YaHei"/>
            <w:i w:val="false"/>
            <w:sz w:val="24"/>
            <w:szCs w:val="24"/>
          </w:rPr>
          <w:t>Таблица 10.1 – Реестр существующих технологически изолированных зон действия для определения единых теплоснабжающих организаций</w:t>
        </w:r>
        <w:r>
          <w:rPr>
            <w:webHidden/>
          </w:rPr>
          <w:fldChar w:fldCharType="begin"/>
        </w:r>
        <w:r>
          <w:rPr>
            <w:webHidden/>
          </w:rPr>
          <w:instrText xml:space="preserve">PAGEREF _Toc132971385 \h</w:instrText>
        </w:r>
        <w:r>
          <w:rPr>
            <w:webHidden/>
          </w:rPr>
          <w:fldChar w:fldCharType="separate"/>
        </w:r>
        <w:r>
          <w:rPr>
            <w:rStyle w:val="Style31"/>
            <w:i w:val="false"/>
            <w:vanish w:val="false"/>
            <w:sz w:val="24"/>
            <w:szCs w:val="24"/>
          </w:rPr>
          <w:tab/>
          <w:t>140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6">
        <w:r>
          <w:rPr>
            <w:rStyle w:val="Style31"/>
            <w:rFonts w:eastAsia="Microsoft YaHei"/>
            <w:i w:val="false"/>
            <w:sz w:val="24"/>
            <w:szCs w:val="24"/>
          </w:rPr>
          <w:t>Таблица 10.2 – Реестр утверждаемых существующих зон деятельности единых теплоснабжающих организаций</w:t>
        </w:r>
        <w:r>
          <w:rPr>
            <w:webHidden/>
          </w:rPr>
          <w:fldChar w:fldCharType="begin"/>
        </w:r>
        <w:r>
          <w:rPr>
            <w:webHidden/>
          </w:rPr>
          <w:instrText xml:space="preserve">PAGEREF _Toc132971386 \h</w:instrText>
        </w:r>
        <w:r>
          <w:rPr>
            <w:webHidden/>
          </w:rPr>
          <w:fldChar w:fldCharType="separate"/>
        </w:r>
        <w:r>
          <w:rPr>
            <w:rStyle w:val="Style31"/>
            <w:i w:val="false"/>
            <w:vanish w:val="false"/>
            <w:sz w:val="24"/>
            <w:szCs w:val="24"/>
          </w:rPr>
          <w:tab/>
          <w:t>146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7">
        <w:r>
          <w:rPr>
            <w:rStyle w:val="Style31"/>
            <w:rFonts w:eastAsia="Microsoft YaHei"/>
            <w:bCs/>
            <w:i w:val="false"/>
            <w:sz w:val="24"/>
            <w:szCs w:val="24"/>
          </w:rPr>
          <w:t>Таблица 12.1 – Перечень бесхозных тепловых сетей города Калуги, переданные на обслуживание и ремонт МУП «Калугатеплосеть»</w:t>
        </w:r>
        <w:r>
          <w:rPr>
            <w:webHidden/>
          </w:rPr>
          <w:fldChar w:fldCharType="begin"/>
        </w:r>
        <w:r>
          <w:rPr>
            <w:webHidden/>
          </w:rPr>
          <w:instrText xml:space="preserve">PAGEREF _Toc132971387 \h</w:instrText>
        </w:r>
        <w:r>
          <w:rPr>
            <w:webHidden/>
          </w:rPr>
          <w:fldChar w:fldCharType="separate"/>
        </w:r>
        <w:r>
          <w:rPr>
            <w:rStyle w:val="Style31"/>
            <w:i w:val="false"/>
            <w:vanish w:val="false"/>
            <w:sz w:val="24"/>
            <w:szCs w:val="24"/>
          </w:rPr>
          <w:tab/>
          <w:t>169</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8">
        <w:r>
          <w:rPr>
            <w:rStyle w:val="Style31"/>
            <w:rFonts w:eastAsia="Microsoft YaHei"/>
            <w:bCs/>
            <w:i w:val="false"/>
            <w:sz w:val="24"/>
            <w:szCs w:val="24"/>
          </w:rPr>
          <w:t>Таблица 14.1</w:t>
        </w:r>
        <w:r>
          <w:rPr>
            <w:rStyle w:val="Style31"/>
            <w:rFonts w:eastAsia="Microsoft YaHei"/>
            <w:bCs/>
            <w:i w:val="false"/>
            <w:sz w:val="24"/>
            <w:szCs w:val="24"/>
            <w:lang w:eastAsia="ru-RU"/>
          </w:rPr>
          <w:t xml:space="preserve"> </w:t>
        </w:r>
        <w:r>
          <w:rPr>
            <w:rStyle w:val="Style31"/>
            <w:rFonts w:eastAsia="Microsoft YaHei"/>
            <w:bCs/>
            <w:i w:val="false"/>
            <w:sz w:val="24"/>
            <w:szCs w:val="24"/>
          </w:rPr>
          <w:t>– Смета затрат  теплоснабжающих организаций г. Калуги утверждённых в тарифах на тепловую энергию 202</w:t>
        </w:r>
        <w:r>
          <w:rPr>
            <w:rStyle w:val="Style31"/>
            <w:rFonts w:eastAsia="Microsoft YaHei"/>
            <w:bCs/>
            <w:i w:val="false"/>
            <w:sz w:val="24"/>
            <w:szCs w:val="24"/>
            <w:lang w:val="ru-RU"/>
          </w:rPr>
          <w:t>5</w:t>
        </w:r>
        <w:r>
          <w:rPr>
            <w:rStyle w:val="Style31"/>
            <w:rFonts w:eastAsia="Microsoft YaHei"/>
            <w:bCs/>
            <w:i w:val="false"/>
            <w:sz w:val="24"/>
            <w:szCs w:val="24"/>
          </w:rPr>
          <w:t xml:space="preserve"> года</w:t>
        </w:r>
        <w:r>
          <w:rPr>
            <w:webHidden/>
          </w:rPr>
          <w:fldChar w:fldCharType="begin"/>
        </w:r>
        <w:r>
          <w:rPr>
            <w:webHidden/>
          </w:rPr>
          <w:instrText xml:space="preserve">PAGEREF _Toc132971388 \h</w:instrText>
        </w:r>
        <w:r>
          <w:rPr>
            <w:webHidden/>
          </w:rPr>
          <w:fldChar w:fldCharType="separate"/>
        </w:r>
        <w:r>
          <w:rPr>
            <w:rStyle w:val="Style31"/>
            <w:i w:val="false"/>
            <w:vanish w:val="false"/>
            <w:sz w:val="24"/>
            <w:szCs w:val="24"/>
          </w:rPr>
          <w:tab/>
          <w:t>183</w:t>
        </w:r>
        <w:r>
          <w:rPr>
            <w:webHidden/>
          </w:rPr>
          <w:fldChar w:fldCharType="end"/>
        </w:r>
      </w:hyperlink>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14.10  Динамика утвержденных цен (тарифов) в сфере теплоснабжения, структура цен……………………………………………………………………………………………..221</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14.11 Динамика утвержденных цен (тарифов) в сфере теплоснабжения, структура цен в зоне действия филиала АО "Квадра"-"Калужская генерация"…………………….…223</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14.12  Плата за подключение в системе теплоснабжения…………………………226</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 xml:space="preserve"> </w:t>
      </w:r>
      <w:r>
        <w:rPr>
          <w:i w:val="false"/>
          <w:sz w:val="24"/>
          <w:szCs w:val="24"/>
          <w:lang w:val="ru-RU"/>
        </w:rPr>
        <w:t>Таблица 14.13  Плата за подключение в системе теплоснабжения……………………...…226</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14.14  Плата за подключение к централизованной системе теплоснабжения………………………………………………………………………….……227</w:t>
      </w:r>
    </w:p>
    <w:p>
      <w:pPr>
        <w:pStyle w:val="TableofFigures"/>
        <w:tabs>
          <w:tab w:val="clear" w:pos="709"/>
          <w:tab w:val="right" w:pos="9061" w:leader="dot"/>
        </w:tabs>
        <w:spacing w:lineRule="auto" w:line="360"/>
        <w:jc w:val="left"/>
        <w:rPr>
          <w:rFonts w:ascii="Calibri" w:hAnsi="Calibri" w:eastAsia="" w:cs="" w:asciiTheme="minorHAnsi" w:cstheme="minorBidi" w:eastAsiaTheme="minorEastAsia" w:hAnsiTheme="minorHAnsi"/>
          <w:i w:val="false"/>
          <w:i w:val="false"/>
          <w:iCs w:val="false"/>
          <w:spacing w:val="0"/>
          <w:sz w:val="22"/>
          <w:szCs w:val="22"/>
          <w:lang w:val="ru-RU" w:eastAsia="ru-RU"/>
        </w:rPr>
      </w:pPr>
      <w:r>
        <w:rPr/>
      </w:r>
      <w:r>
        <w:rPr/>
        <w:fldChar w:fldCharType="end"/>
      </w:r>
    </w:p>
    <w:p>
      <w:pPr>
        <w:pStyle w:val="TableofFigures"/>
        <w:tabs>
          <w:tab w:val="clear" w:pos="709"/>
          <w:tab w:val="right" w:pos="9061" w:leader="dot"/>
        </w:tabs>
        <w:rPr>
          <w:rFonts w:cs="Arial"/>
          <w:lang w:val="ru-RU"/>
        </w:rPr>
      </w:pPr>
      <w:r>
        <w:rPr>
          <w:rFonts w:cs="Arial"/>
          <w:lang w:val="ru-RU"/>
        </w:rPr>
      </w:r>
    </w:p>
    <w:p>
      <w:pPr>
        <w:pStyle w:val="Heading1"/>
        <w:numPr>
          <w:ilvl w:val="0"/>
          <w:numId w:val="0"/>
        </w:numPr>
        <w:tabs>
          <w:tab w:val="clear" w:pos="709"/>
          <w:tab w:val="left" w:pos="993" w:leader="none"/>
        </w:tabs>
        <w:ind w:hanging="0" w:left="0"/>
        <w:jc w:val="center"/>
        <w:rPr>
          <w:b/>
        </w:rPr>
      </w:pPr>
      <w:bookmarkStart w:id="62" w:name="_Toc132981664"/>
      <w:r>
        <w:rPr>
          <w:b/>
        </w:rPr>
        <w:t>Перечень рисунков</w:t>
      </w:r>
      <w:bookmarkEnd w:id="62"/>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fldChar w:fldCharType="begin"/>
      </w:r>
      <w:r>
        <w:rPr>
          <w:rStyle w:val="Style31"/>
          <w:sz w:val="24"/>
          <w:i w:val="false"/>
          <w:szCs w:val="24"/>
          <w:bCs/>
          <w:rFonts w:eastAsia="Microsoft YaHei"/>
          <w:lang w:val="ru-RU"/>
        </w:rPr>
        <w:instrText xml:space="preserve"> TOC \c "Рисунок" \h </w:instrText>
      </w:r>
      <w:r>
        <w:rPr>
          <w:rStyle w:val="Style31"/>
          <w:sz w:val="24"/>
          <w:i w:val="false"/>
          <w:szCs w:val="24"/>
          <w:bCs/>
          <w:rFonts w:eastAsia="Microsoft YaHei"/>
          <w:lang w:val="ru-RU"/>
        </w:rPr>
        <w:fldChar w:fldCharType="separate"/>
      </w:r>
      <w:hyperlink w:anchor="_Toc71274673">
        <w:r>
          <w:rPr>
            <w:rStyle w:val="Style31"/>
            <w:rFonts w:eastAsia="Microsoft YaHei"/>
            <w:bCs/>
            <w:i w:val="false"/>
            <w:sz w:val="24"/>
            <w:szCs w:val="24"/>
            <w:lang w:val="ru-RU"/>
          </w:rPr>
          <w:t>Рисунок 1.1. Сетка расчетных элементов территориального деления (кадастровых кварталов) муниципального образования «Город Калуга» (фрагмент)</w:t>
        </w:r>
        <w:r>
          <w:rPr>
            <w:rStyle w:val="Style31"/>
            <w:i w:val="false"/>
            <w:vanish w:val="false"/>
            <w:sz w:val="24"/>
            <w:szCs w:val="24"/>
            <w:lang w:val="ru-RU"/>
          </w:rPr>
          <w:tab/>
        </w:r>
        <w:r>
          <w:rPr>
            <w:webHidden/>
          </w:rPr>
          <w:fldChar w:fldCharType="begin"/>
        </w:r>
        <w:r>
          <w:rPr>
            <w:webHidden/>
          </w:rPr>
          <w:instrText xml:space="preserve">PAGEREF _Toc71274673 \h</w:instrText>
        </w:r>
        <w:r>
          <w:rPr>
            <w:webHidden/>
          </w:rPr>
          <w:fldChar w:fldCharType="separate"/>
        </w:r>
        <w:r>
          <w:rPr>
            <w:rStyle w:val="Style31"/>
            <w:i w:val="false"/>
            <w:vanish w:val="false"/>
            <w:sz w:val="24"/>
            <w:szCs w:val="24"/>
          </w:rPr>
          <w:t>11</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4">
        <w:r>
          <w:rPr>
            <w:rStyle w:val="Style31"/>
            <w:rFonts w:eastAsia="Microsoft YaHei"/>
            <w:bCs/>
            <w:i w:val="false"/>
            <w:sz w:val="24"/>
            <w:szCs w:val="24"/>
            <w:lang w:val="ru-RU"/>
          </w:rPr>
          <w:t>Рисунок 1.2. Сетка расчетных элементов территориального деления (кадастровых кварталов)  муниципального образования «Город Калуга» (общий вид)</w:t>
        </w:r>
        <w:r>
          <w:rPr>
            <w:rStyle w:val="Style31"/>
            <w:i w:val="false"/>
            <w:vanish w:val="false"/>
            <w:sz w:val="24"/>
            <w:szCs w:val="24"/>
            <w:lang w:val="ru-RU"/>
          </w:rPr>
          <w:tab/>
        </w:r>
        <w:r>
          <w:rPr>
            <w:webHidden/>
          </w:rPr>
          <w:fldChar w:fldCharType="begin"/>
        </w:r>
        <w:r>
          <w:rPr>
            <w:webHidden/>
          </w:rPr>
          <w:instrText xml:space="preserve">PAGEREF _Toc71274674 \h</w:instrText>
        </w:r>
        <w:r>
          <w:rPr>
            <w:webHidden/>
          </w:rPr>
          <w:fldChar w:fldCharType="separate"/>
        </w:r>
        <w:r>
          <w:rPr>
            <w:rStyle w:val="Style31"/>
            <w:i w:val="false"/>
            <w:vanish w:val="false"/>
            <w:sz w:val="24"/>
            <w:szCs w:val="24"/>
          </w:rPr>
          <w:t>12</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5">
        <w:r>
          <w:rPr>
            <w:rStyle w:val="Style31"/>
            <w:rFonts w:eastAsia="Microsoft YaHei"/>
            <w:bCs/>
            <w:i w:val="false"/>
            <w:sz w:val="24"/>
            <w:szCs w:val="24"/>
            <w:lang w:val="ru-RU"/>
          </w:rPr>
          <w:t>Рисунок 1.3. Прогноз численности населения муниципального образования</w:t>
        </w:r>
        <w:r>
          <w:rPr>
            <w:rStyle w:val="Style31"/>
            <w:i w:val="false"/>
            <w:vanish w:val="false"/>
            <w:sz w:val="24"/>
            <w:szCs w:val="24"/>
            <w:lang w:val="ru-RU"/>
          </w:rPr>
          <w:tab/>
        </w:r>
        <w:r>
          <w:rPr>
            <w:webHidden/>
          </w:rPr>
          <w:fldChar w:fldCharType="begin"/>
        </w:r>
        <w:r>
          <w:rPr>
            <w:webHidden/>
          </w:rPr>
          <w:instrText xml:space="preserve">PAGEREF _Toc71274675 \h</w:instrText>
        </w:r>
        <w:r>
          <w:rPr>
            <w:webHidden/>
          </w:rPr>
          <w:fldChar w:fldCharType="separate"/>
        </w:r>
        <w:r>
          <w:rPr>
            <w:rStyle w:val="Style31"/>
            <w:i w:val="false"/>
            <w:vanish w:val="false"/>
            <w:sz w:val="24"/>
            <w:szCs w:val="24"/>
          </w:rPr>
          <w:t>15</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6">
        <w:r>
          <w:rPr>
            <w:rStyle w:val="Style31"/>
            <w:rFonts w:eastAsia="Microsoft YaHei"/>
            <w:bCs/>
            <w:i w:val="false"/>
            <w:sz w:val="24"/>
            <w:szCs w:val="24"/>
            <w:lang w:val="ru-RU"/>
          </w:rPr>
          <w:t>Рисунок 1.4. Структура жилищного фонда, прогнозируемого к вводу</w:t>
        </w:r>
        <w:r>
          <w:rPr>
            <w:rStyle w:val="Style31"/>
            <w:i w:val="false"/>
            <w:vanish w:val="false"/>
            <w:sz w:val="24"/>
            <w:szCs w:val="24"/>
            <w:lang w:val="ru-RU"/>
          </w:rPr>
          <w:tab/>
        </w:r>
        <w:r>
          <w:rPr>
            <w:webHidden/>
          </w:rPr>
          <w:fldChar w:fldCharType="begin"/>
        </w:r>
        <w:r>
          <w:rPr>
            <w:webHidden/>
          </w:rPr>
          <w:instrText xml:space="preserve">PAGEREF _Toc71274676 \h</w:instrText>
        </w:r>
        <w:r>
          <w:rPr>
            <w:webHidden/>
          </w:rPr>
          <w:fldChar w:fldCharType="separate"/>
        </w:r>
        <w:r>
          <w:rPr>
            <w:rStyle w:val="Style31"/>
            <w:i w:val="false"/>
            <w:vanish w:val="false"/>
            <w:sz w:val="24"/>
            <w:szCs w:val="24"/>
          </w:rPr>
          <w:t>17</w:t>
        </w:r>
        <w:r>
          <w:rPr>
            <w:webHidden/>
          </w:rPr>
          <w:fldChar w:fldCharType="end"/>
        </w:r>
      </w:hyperlink>
    </w:p>
    <w:p>
      <w:pPr>
        <w:pStyle w:val="TableofFigures"/>
        <w:tabs>
          <w:tab w:val="clear" w:pos="709"/>
          <w:tab w:val="right" w:pos="9061" w:leader="dot"/>
        </w:tabs>
        <w:spacing w:lineRule="auto" w:line="360"/>
        <w:rPr>
          <w:rFonts w:eastAsia="" w:eastAsiaTheme="minorEastAsia"/>
          <w:i w:val="false"/>
          <w:i w:val="false"/>
          <w:iCs w:val="false"/>
          <w:spacing w:val="0"/>
          <w:sz w:val="24"/>
          <w:szCs w:val="24"/>
          <w:lang w:val="ru-RU" w:eastAsia="ru-RU"/>
        </w:rPr>
      </w:pPr>
      <w:hyperlink w:anchor="_Toc71274677">
        <w:r>
          <w:rPr>
            <w:rStyle w:val="Style31"/>
            <w:rFonts w:eastAsia="Microsoft YaHei"/>
            <w:bCs/>
            <w:i w:val="false"/>
            <w:sz w:val="24"/>
            <w:szCs w:val="24"/>
          </w:rPr>
          <w:t>Рисунок 1.5. Прогнозируемая динамика изменения численности населения и обеспеченности населения жилищным фондом на период до 2030 г.</w:t>
        </w:r>
        <w:r>
          <w:rPr>
            <w:webHidden/>
          </w:rPr>
          <w:fldChar w:fldCharType="begin"/>
        </w:r>
        <w:r>
          <w:rPr>
            <w:webHidden/>
          </w:rPr>
          <w:instrText xml:space="preserve">PAGEREF _Toc71274677 \h</w:instrText>
        </w:r>
        <w:r>
          <w:rPr>
            <w:webHidden/>
          </w:rPr>
          <w:fldChar w:fldCharType="separate"/>
        </w:r>
        <w:r>
          <w:rPr>
            <w:rStyle w:val="Style31"/>
            <w:i w:val="false"/>
            <w:vanish w:val="false"/>
            <w:sz w:val="24"/>
            <w:szCs w:val="24"/>
          </w:rPr>
          <w:tab/>
          <w:t>19</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8">
        <w:r>
          <w:rPr>
            <w:rStyle w:val="Style31"/>
            <w:rFonts w:eastAsia="Microsoft YaHei"/>
            <w:i w:val="false"/>
            <w:sz w:val="24"/>
            <w:szCs w:val="24"/>
          </w:rPr>
          <w:t>Рисунок 2.1. Месторасположение предлагаемой к строительству котельной (НИ-1)</w:t>
        </w:r>
        <w:r>
          <w:rPr>
            <w:webHidden/>
          </w:rPr>
          <w:fldChar w:fldCharType="begin"/>
        </w:r>
        <w:r>
          <w:rPr>
            <w:webHidden/>
          </w:rPr>
          <w:instrText xml:space="preserve">PAGEREF _Toc71274678 \h</w:instrText>
        </w:r>
        <w:r>
          <w:rPr>
            <w:webHidden/>
          </w:rPr>
          <w:fldChar w:fldCharType="separate"/>
        </w:r>
        <w:r>
          <w:rPr>
            <w:rStyle w:val="Style31"/>
            <w:i w:val="false"/>
            <w:vanish w:val="false"/>
            <w:sz w:val="24"/>
            <w:szCs w:val="24"/>
          </w:rPr>
          <w:tab/>
          <w:t>34</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9">
        <w:r>
          <w:rPr>
            <w:rStyle w:val="Style31"/>
            <w:rFonts w:eastAsia="Microsoft YaHei"/>
            <w:i w:val="false"/>
            <w:sz w:val="24"/>
            <w:szCs w:val="24"/>
          </w:rPr>
          <w:t>Рисунок 2.2. Месторасположение предлагаемой к строительству котельной (НИ-2)</w:t>
        </w:r>
        <w:r>
          <w:rPr>
            <w:webHidden/>
          </w:rPr>
          <w:fldChar w:fldCharType="begin"/>
        </w:r>
        <w:r>
          <w:rPr>
            <w:webHidden/>
          </w:rPr>
          <w:instrText xml:space="preserve">PAGEREF _Toc71274679 \h</w:instrText>
        </w:r>
        <w:r>
          <w:rPr>
            <w:webHidden/>
          </w:rPr>
          <w:fldChar w:fldCharType="separate"/>
        </w:r>
        <w:r>
          <w:rPr>
            <w:rStyle w:val="Style31"/>
            <w:i w:val="false"/>
            <w:vanish w:val="false"/>
            <w:sz w:val="24"/>
            <w:szCs w:val="24"/>
          </w:rPr>
          <w:tab/>
          <w:t>35</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0">
        <w:r>
          <w:rPr>
            <w:rStyle w:val="Style31"/>
            <w:rFonts w:eastAsia="Microsoft YaHei"/>
            <w:i w:val="false"/>
            <w:sz w:val="24"/>
            <w:szCs w:val="24"/>
          </w:rPr>
          <w:t>Рисунок 2.3. Месторасположение предлагаемой к строительству котельной (НИ-3)</w:t>
        </w:r>
        <w:r>
          <w:rPr>
            <w:webHidden/>
          </w:rPr>
          <w:fldChar w:fldCharType="begin"/>
        </w:r>
        <w:r>
          <w:rPr>
            <w:webHidden/>
          </w:rPr>
          <w:instrText xml:space="preserve">PAGEREF _Toc71274680 \h</w:instrText>
        </w:r>
        <w:r>
          <w:rPr>
            <w:webHidden/>
          </w:rPr>
          <w:fldChar w:fldCharType="separate"/>
        </w:r>
        <w:r>
          <w:rPr>
            <w:rStyle w:val="Style31"/>
            <w:i w:val="false"/>
            <w:vanish w:val="false"/>
            <w:sz w:val="24"/>
            <w:szCs w:val="24"/>
          </w:rPr>
          <w:tab/>
          <w:t>35</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1">
        <w:r>
          <w:rPr>
            <w:rStyle w:val="Style31"/>
            <w:rFonts w:eastAsia="Microsoft YaHei"/>
            <w:i w:val="false"/>
            <w:sz w:val="24"/>
            <w:szCs w:val="24"/>
          </w:rPr>
          <w:t>Рисунок 2.4. Структура тепловых нагрузок и резервов тепловой мощности теплоисточников города</w:t>
        </w:r>
        <w:r>
          <w:rPr>
            <w:webHidden/>
          </w:rPr>
          <w:fldChar w:fldCharType="begin"/>
        </w:r>
        <w:r>
          <w:rPr>
            <w:webHidden/>
          </w:rPr>
          <w:instrText xml:space="preserve">PAGEREF _Toc71274681 \h</w:instrText>
        </w:r>
        <w:r>
          <w:rPr>
            <w:webHidden/>
          </w:rPr>
          <w:fldChar w:fldCharType="separate"/>
        </w:r>
        <w:r>
          <w:rPr>
            <w:rStyle w:val="Style31"/>
            <w:i w:val="false"/>
            <w:vanish w:val="false"/>
            <w:sz w:val="24"/>
            <w:szCs w:val="24"/>
          </w:rPr>
          <w:tab/>
          <w:t>37</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2">
        <w:r>
          <w:rPr>
            <w:rStyle w:val="Style31"/>
            <w:bCs/>
            <w:i w:val="false"/>
            <w:sz w:val="24"/>
            <w:szCs w:val="24"/>
            <w:lang w:eastAsia="ru-RU"/>
          </w:rPr>
          <w:t>Рисунок 4.1.</w:t>
        </w:r>
        <w:r>
          <w:rPr>
            <w:rStyle w:val="Style31"/>
            <w:rFonts w:eastAsia="Microsoft YaHei"/>
            <w:i w:val="false"/>
            <w:sz w:val="24"/>
            <w:szCs w:val="24"/>
          </w:rPr>
          <w:t xml:space="preserve"> </w:t>
        </w:r>
        <w:r>
          <w:rPr>
            <w:rStyle w:val="Style31"/>
            <w:bCs/>
            <w:i w:val="false"/>
            <w:sz w:val="24"/>
            <w:szCs w:val="24"/>
            <w:lang w:eastAsia="ru-RU"/>
          </w:rPr>
          <w:t>Протокол совещания в МУП «Калугатеплосеть» от 31.07.2013 г. (часть 1)</w:t>
        </w:r>
        <w:r>
          <w:rPr>
            <w:webHidden/>
          </w:rPr>
          <w:fldChar w:fldCharType="begin"/>
        </w:r>
        <w:r>
          <w:rPr>
            <w:webHidden/>
          </w:rPr>
          <w:instrText xml:space="preserve">PAGEREF _Toc71274682 \h</w:instrText>
        </w:r>
        <w:r>
          <w:rPr>
            <w:webHidden/>
          </w:rPr>
          <w:fldChar w:fldCharType="separate"/>
        </w:r>
        <w:r>
          <w:rPr>
            <w:rStyle w:val="Style31"/>
            <w:i w:val="false"/>
            <w:vanish w:val="false"/>
            <w:sz w:val="24"/>
            <w:szCs w:val="24"/>
          </w:rPr>
          <w:tab/>
          <w:t>51</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3">
        <w:r>
          <w:rPr>
            <w:rStyle w:val="Style31"/>
            <w:bCs/>
            <w:i w:val="false"/>
            <w:sz w:val="24"/>
            <w:szCs w:val="24"/>
            <w:lang w:eastAsia="ru-RU"/>
          </w:rPr>
          <w:t>Рисунок 4.2.</w:t>
        </w:r>
        <w:r>
          <w:rPr>
            <w:rStyle w:val="Style31"/>
            <w:rFonts w:eastAsia="Microsoft YaHei"/>
            <w:i w:val="false"/>
            <w:sz w:val="24"/>
            <w:szCs w:val="24"/>
          </w:rPr>
          <w:t xml:space="preserve"> </w:t>
        </w:r>
        <w:r>
          <w:rPr>
            <w:rStyle w:val="Style31"/>
            <w:bCs/>
            <w:i w:val="false"/>
            <w:sz w:val="24"/>
            <w:szCs w:val="24"/>
            <w:lang w:eastAsia="ru-RU"/>
          </w:rPr>
          <w:t>Протокол совещания в МУП «Калугатеплосеть» от 31.07.2013 г. (часть 2)</w:t>
        </w:r>
        <w:r>
          <w:rPr>
            <w:webHidden/>
          </w:rPr>
          <w:fldChar w:fldCharType="begin"/>
        </w:r>
        <w:r>
          <w:rPr>
            <w:webHidden/>
          </w:rPr>
          <w:instrText xml:space="preserve">PAGEREF _Toc71274683 \h</w:instrText>
        </w:r>
        <w:r>
          <w:rPr>
            <w:webHidden/>
          </w:rPr>
          <w:fldChar w:fldCharType="separate"/>
        </w:r>
        <w:r>
          <w:rPr>
            <w:rStyle w:val="Style31"/>
            <w:i w:val="false"/>
            <w:vanish w:val="false"/>
            <w:sz w:val="24"/>
            <w:szCs w:val="24"/>
          </w:rPr>
          <w:tab/>
          <w:t>52</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4">
        <w:r>
          <w:rPr>
            <w:rStyle w:val="Style31"/>
            <w:bCs/>
            <w:i w:val="false"/>
            <w:sz w:val="24"/>
            <w:szCs w:val="24"/>
            <w:lang w:eastAsia="ru-RU"/>
          </w:rPr>
          <w:t>Рисунок 4.3.</w:t>
        </w:r>
        <w:r>
          <w:rPr>
            <w:rStyle w:val="Style31"/>
            <w:rFonts w:eastAsia="Microsoft YaHei"/>
            <w:i w:val="false"/>
            <w:sz w:val="24"/>
            <w:szCs w:val="24"/>
          </w:rPr>
          <w:t xml:space="preserve"> </w:t>
        </w:r>
        <w:r>
          <w:rPr>
            <w:rStyle w:val="Style31"/>
            <w:bCs/>
            <w:i w:val="false"/>
            <w:sz w:val="24"/>
            <w:szCs w:val="24"/>
            <w:lang w:eastAsia="ru-RU"/>
          </w:rPr>
          <w:t>Протокол совещания в МУП «Калугатеплосеть» от 31.07.2013 г. (часть 3)</w:t>
        </w:r>
        <w:r>
          <w:rPr>
            <w:webHidden/>
          </w:rPr>
          <w:fldChar w:fldCharType="begin"/>
        </w:r>
        <w:r>
          <w:rPr>
            <w:webHidden/>
          </w:rPr>
          <w:instrText xml:space="preserve">PAGEREF _Toc71274684 \h</w:instrText>
        </w:r>
        <w:r>
          <w:rPr>
            <w:webHidden/>
          </w:rPr>
          <w:fldChar w:fldCharType="separate"/>
        </w:r>
        <w:r>
          <w:rPr>
            <w:rStyle w:val="Style31"/>
            <w:i w:val="false"/>
            <w:vanish w:val="false"/>
            <w:sz w:val="24"/>
            <w:szCs w:val="24"/>
          </w:rPr>
          <w:tab/>
          <w:t>53</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5">
        <w:r>
          <w:rPr>
            <w:rStyle w:val="Style31"/>
            <w:bCs/>
            <w:i w:val="false"/>
            <w:sz w:val="24"/>
            <w:szCs w:val="24"/>
            <w:lang w:eastAsia="ru-RU"/>
          </w:rPr>
          <w:t xml:space="preserve"> </w:t>
        </w:r>
        <w:r>
          <w:rPr>
            <w:rStyle w:val="Style31"/>
            <w:bCs/>
            <w:i w:val="false"/>
            <w:sz w:val="24"/>
            <w:szCs w:val="24"/>
            <w:lang w:eastAsia="ru-RU"/>
          </w:rPr>
          <w:t>Рисунок 4.4.</w:t>
        </w:r>
        <w:r>
          <w:rPr>
            <w:rStyle w:val="Style31"/>
            <w:rFonts w:eastAsia="Microsoft YaHei"/>
            <w:i w:val="false"/>
            <w:sz w:val="24"/>
            <w:szCs w:val="24"/>
          </w:rPr>
          <w:t xml:space="preserve"> </w:t>
        </w:r>
        <w:r>
          <w:rPr>
            <w:rStyle w:val="Style31"/>
            <w:bCs/>
            <w:i w:val="false"/>
            <w:sz w:val="24"/>
            <w:szCs w:val="24"/>
            <w:lang w:eastAsia="ru-RU"/>
          </w:rPr>
          <w:t>Протокол совещания в Городской управе города Калуги от 07.11.2013 г. (часть 1)</w:t>
        </w:r>
        <w:r>
          <w:rPr>
            <w:webHidden/>
          </w:rPr>
          <w:fldChar w:fldCharType="begin"/>
        </w:r>
        <w:r>
          <w:rPr>
            <w:webHidden/>
          </w:rPr>
          <w:instrText xml:space="preserve">PAGEREF _Toc71274685 \h</w:instrText>
        </w:r>
        <w:r>
          <w:rPr>
            <w:webHidden/>
          </w:rPr>
          <w:fldChar w:fldCharType="separate"/>
        </w:r>
        <w:r>
          <w:rPr>
            <w:rStyle w:val="Style31"/>
            <w:i w:val="false"/>
            <w:vanish w:val="false"/>
            <w:sz w:val="24"/>
            <w:szCs w:val="24"/>
          </w:rPr>
          <w:tab/>
          <w:t>54</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6">
        <w:r>
          <w:rPr>
            <w:rStyle w:val="Style31"/>
            <w:bCs/>
            <w:i w:val="false"/>
            <w:sz w:val="24"/>
            <w:szCs w:val="24"/>
            <w:lang w:eastAsia="ru-RU"/>
          </w:rPr>
          <w:t>Рисунок 4.5.</w:t>
        </w:r>
        <w:r>
          <w:rPr>
            <w:rStyle w:val="Style31"/>
            <w:rFonts w:eastAsia="Microsoft YaHei"/>
            <w:i w:val="false"/>
            <w:sz w:val="24"/>
            <w:szCs w:val="24"/>
          </w:rPr>
          <w:t xml:space="preserve"> </w:t>
        </w:r>
        <w:r>
          <w:rPr>
            <w:rStyle w:val="Style31"/>
            <w:bCs/>
            <w:i w:val="false"/>
            <w:sz w:val="24"/>
            <w:szCs w:val="24"/>
            <w:lang w:eastAsia="ru-RU"/>
          </w:rPr>
          <w:t>Протокол совещания в Городской управе города Калуги от 07.11.2013 г. (часть 2)</w:t>
        </w:r>
        <w:r>
          <w:rPr>
            <w:webHidden/>
          </w:rPr>
          <w:fldChar w:fldCharType="begin"/>
        </w:r>
        <w:r>
          <w:rPr>
            <w:webHidden/>
          </w:rPr>
          <w:instrText xml:space="preserve">PAGEREF _Toc71274686 \h</w:instrText>
        </w:r>
        <w:r>
          <w:rPr>
            <w:webHidden/>
          </w:rPr>
          <w:fldChar w:fldCharType="separate"/>
        </w:r>
        <w:r>
          <w:rPr>
            <w:rStyle w:val="Style31"/>
            <w:i w:val="false"/>
            <w:vanish w:val="false"/>
            <w:sz w:val="24"/>
            <w:szCs w:val="24"/>
          </w:rPr>
          <w:tab/>
          <w:t>55</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7">
        <w:r>
          <w:rPr>
            <w:rStyle w:val="Style31"/>
            <w:bCs/>
            <w:i w:val="false"/>
            <w:sz w:val="24"/>
            <w:szCs w:val="24"/>
            <w:lang w:eastAsia="ru-RU"/>
          </w:rPr>
          <w:t>Рисунок 4.6.</w:t>
        </w:r>
        <w:r>
          <w:rPr>
            <w:rStyle w:val="Style31"/>
            <w:rFonts w:eastAsia="Microsoft YaHei"/>
            <w:i w:val="false"/>
            <w:sz w:val="24"/>
            <w:szCs w:val="24"/>
          </w:rPr>
          <w:t xml:space="preserve"> </w:t>
        </w:r>
        <w:r>
          <w:rPr>
            <w:rStyle w:val="Style31"/>
            <w:bCs/>
            <w:i w:val="false"/>
            <w:sz w:val="24"/>
            <w:szCs w:val="24"/>
            <w:lang w:eastAsia="ru-RU"/>
          </w:rPr>
          <w:t xml:space="preserve">Письмо генерального директора </w:t>
        </w:r>
        <w:r>
          <w:rPr>
            <w:rStyle w:val="Style31"/>
            <w:color w:val="000000"/>
            <w:spacing w:val="0"/>
            <w:sz w:val="24"/>
            <w:szCs w:val="24"/>
            <w:lang w:eastAsia="ru-RU"/>
          </w:rPr>
          <w:t>АО «Азимут» (бывший АО «КЗТА»)</w:t>
        </w:r>
        <w:r>
          <w:rPr>
            <w:rStyle w:val="Style31"/>
            <w:bCs/>
            <w:i w:val="false"/>
            <w:sz w:val="24"/>
            <w:szCs w:val="24"/>
            <w:lang w:eastAsia="ru-RU"/>
          </w:rPr>
          <w:t xml:space="preserve"> (часть 1)</w:t>
        </w:r>
        <w:r>
          <w:rPr>
            <w:webHidden/>
          </w:rPr>
          <w:fldChar w:fldCharType="begin"/>
        </w:r>
        <w:r>
          <w:rPr>
            <w:webHidden/>
          </w:rPr>
          <w:instrText xml:space="preserve">PAGEREF _Toc71274687 \h</w:instrText>
        </w:r>
        <w:r>
          <w:rPr>
            <w:webHidden/>
          </w:rPr>
          <w:fldChar w:fldCharType="separate"/>
        </w:r>
        <w:r>
          <w:rPr>
            <w:rStyle w:val="Style31"/>
            <w:i w:val="false"/>
            <w:vanish w:val="false"/>
            <w:sz w:val="24"/>
            <w:szCs w:val="24"/>
          </w:rPr>
          <w:tab/>
          <w:t>56</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8">
        <w:r>
          <w:rPr>
            <w:rStyle w:val="Style31"/>
            <w:bCs/>
            <w:i w:val="false"/>
            <w:sz w:val="24"/>
            <w:szCs w:val="24"/>
            <w:lang w:eastAsia="ru-RU"/>
          </w:rPr>
          <w:t>Рисунок 4.7.</w:t>
        </w:r>
        <w:r>
          <w:rPr>
            <w:rStyle w:val="Style31"/>
            <w:rFonts w:eastAsia="Microsoft YaHei"/>
            <w:i w:val="false"/>
            <w:sz w:val="24"/>
            <w:szCs w:val="24"/>
          </w:rPr>
          <w:t xml:space="preserve"> </w:t>
        </w:r>
        <w:r>
          <w:rPr>
            <w:rStyle w:val="Style31"/>
            <w:bCs/>
            <w:i w:val="false"/>
            <w:sz w:val="24"/>
            <w:szCs w:val="24"/>
            <w:lang w:eastAsia="ru-RU"/>
          </w:rPr>
          <w:t xml:space="preserve">Письмо генерального директора </w:t>
        </w:r>
        <w:r>
          <w:rPr>
            <w:rStyle w:val="Style31"/>
            <w:color w:val="000000"/>
            <w:spacing w:val="0"/>
            <w:sz w:val="24"/>
            <w:szCs w:val="24"/>
            <w:lang w:eastAsia="ru-RU"/>
          </w:rPr>
          <w:t>АО «Азимут» (бывший АО «КЗТА»)</w:t>
        </w:r>
        <w:r>
          <w:rPr>
            <w:rStyle w:val="Style31"/>
            <w:bCs/>
            <w:i w:val="false"/>
            <w:sz w:val="24"/>
            <w:szCs w:val="24"/>
            <w:lang w:eastAsia="ru-RU"/>
          </w:rPr>
          <w:t xml:space="preserve"> (часть 2)</w:t>
        </w:r>
        <w:r>
          <w:rPr>
            <w:webHidden/>
          </w:rPr>
          <w:fldChar w:fldCharType="begin"/>
        </w:r>
        <w:r>
          <w:rPr>
            <w:webHidden/>
          </w:rPr>
          <w:instrText xml:space="preserve">PAGEREF _Toc71274688 \h</w:instrText>
        </w:r>
        <w:r>
          <w:rPr>
            <w:webHidden/>
          </w:rPr>
          <w:fldChar w:fldCharType="separate"/>
        </w:r>
        <w:r>
          <w:rPr>
            <w:rStyle w:val="Style31"/>
            <w:i w:val="false"/>
            <w:vanish w:val="false"/>
            <w:sz w:val="24"/>
            <w:szCs w:val="24"/>
          </w:rPr>
          <w:tab/>
          <w:t>57</w:t>
        </w:r>
        <w:r>
          <w:rPr>
            <w:webHidden/>
          </w:rPr>
          <w:fldChar w:fldCharType="end"/>
        </w:r>
      </w:hyperlink>
    </w:p>
    <w:p>
      <w:pPr>
        <w:pStyle w:val="TableofFigures"/>
        <w:tabs>
          <w:tab w:val="clear" w:pos="709"/>
          <w:tab w:val="right" w:pos="9061" w:leader="dot"/>
        </w:tabs>
        <w:rPr>
          <w:i w:val="false"/>
          <w:i w:val="false"/>
          <w:sz w:val="24"/>
          <w:szCs w:val="24"/>
        </w:rPr>
      </w:pPr>
      <w:hyperlink w:anchor="_Toc71274689">
        <w:r>
          <w:rPr>
            <w:rStyle w:val="Style31"/>
            <w:bCs/>
            <w:i w:val="false"/>
            <w:sz w:val="24"/>
            <w:szCs w:val="24"/>
            <w:lang w:eastAsia="ru-RU"/>
          </w:rPr>
          <w:t>Рисунок 4.8.</w:t>
        </w:r>
        <w:r>
          <w:rPr>
            <w:rStyle w:val="Style31"/>
            <w:rFonts w:eastAsia="Microsoft YaHei"/>
            <w:i w:val="false"/>
            <w:sz w:val="24"/>
            <w:szCs w:val="24"/>
          </w:rPr>
          <w:t xml:space="preserve"> </w:t>
        </w:r>
        <w:r>
          <w:rPr>
            <w:rStyle w:val="Style31"/>
            <w:bCs/>
            <w:i w:val="false"/>
            <w:sz w:val="24"/>
            <w:szCs w:val="24"/>
            <w:lang w:eastAsia="ru-RU"/>
          </w:rPr>
          <w:t>Соотношение установленной электрической мощности энергоисточников с выделением ведомственной принадлежности (МВт)</w:t>
        </w:r>
        <w:r>
          <w:rPr>
            <w:webHidden/>
          </w:rPr>
          <w:fldChar w:fldCharType="begin"/>
        </w:r>
        <w:r>
          <w:rPr>
            <w:webHidden/>
          </w:rPr>
          <w:instrText xml:space="preserve">PAGEREF _Toc71274689 \h</w:instrText>
        </w:r>
        <w:r>
          <w:rPr>
            <w:webHidden/>
          </w:rPr>
          <w:fldChar w:fldCharType="separate"/>
        </w:r>
        <w:r>
          <w:rPr>
            <w:rStyle w:val="Style31"/>
            <w:i w:val="false"/>
            <w:vanish w:val="false"/>
            <w:sz w:val="24"/>
            <w:szCs w:val="24"/>
          </w:rPr>
          <w:tab/>
          <w:t>75</w:t>
        </w:r>
        <w:r>
          <w:rPr>
            <w:webHidden/>
          </w:rPr>
          <w:fldChar w:fldCharType="end"/>
        </w:r>
      </w:hyperlink>
    </w:p>
    <w:p>
      <w:pPr>
        <w:pStyle w:val="TableofFigures"/>
        <w:tabs>
          <w:tab w:val="clear" w:pos="709"/>
          <w:tab w:val="right" w:pos="9061" w:leader="dot"/>
        </w:tabs>
        <w:rPr>
          <w:i w:val="false"/>
          <w:i w:val="false"/>
          <w:sz w:val="24"/>
          <w:szCs w:val="24"/>
          <w:lang w:val="ru-RU"/>
        </w:rPr>
      </w:pPr>
      <w:r>
        <w:rPr>
          <w:i w:val="false"/>
          <w:sz w:val="24"/>
          <w:szCs w:val="24"/>
          <w:lang w:val="ru-RU"/>
        </w:rPr>
        <w:t>Рисунок 4.9 Постановление Городской Управы города Калуги о выводе из эксплуатации котельной по адресу: г.Калуга, Кирпичный завод МПС, 3а……………………….…………78</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rPr>
          <w:i w:val="false"/>
          <w:sz w:val="24"/>
          <w:szCs w:val="24"/>
          <w:lang w:val="ru-RU"/>
        </w:rPr>
        <w:t xml:space="preserve">Рисунок 4.10 Постановление Городской Управы города Калуги о выводе из эксплуатации котельной по адресу: г.Калуга, Хрустальная, 50 ……………………………………….……..79  </w:t>
      </w:r>
    </w:p>
    <w:p>
      <w:pPr>
        <w:pStyle w:val="TableofFigures"/>
        <w:tabs>
          <w:tab w:val="clear" w:pos="709"/>
          <w:tab w:val="right" w:pos="9061" w:leader="dot"/>
        </w:tabs>
        <w:rPr>
          <w:i w:val="false"/>
          <w:i w:val="false"/>
          <w:sz w:val="24"/>
          <w:szCs w:val="24"/>
          <w:lang w:val="ru-RU"/>
        </w:rPr>
      </w:pPr>
      <w:hyperlink w:anchor="_Toc71274690">
        <w:r>
          <w:rPr>
            <w:rStyle w:val="Style31"/>
            <w:rFonts w:eastAsia="Microsoft YaHei"/>
            <w:bCs/>
            <w:i w:val="false"/>
            <w:sz w:val="24"/>
            <w:szCs w:val="24"/>
            <w:lang w:val="ru-RU"/>
          </w:rPr>
          <w:t>Рисунок 8.1. Структура топливопотребления энергоисточниками муниципального образования               «Город Калуга»</w:t>
        </w:r>
        <w:r>
          <w:rPr>
            <w:rStyle w:val="Style31"/>
            <w:i w:val="false"/>
            <w:vanish w:val="false"/>
            <w:sz w:val="24"/>
            <w:szCs w:val="24"/>
            <w:lang w:val="ru-RU"/>
          </w:rPr>
          <w:tab/>
        </w:r>
        <w:r>
          <w:rPr>
            <w:webHidden/>
          </w:rPr>
          <w:fldChar w:fldCharType="begin"/>
        </w:r>
        <w:r>
          <w:rPr>
            <w:webHidden/>
          </w:rPr>
          <w:instrText xml:space="preserve">PAGEREF _Toc71274690 \h</w:instrText>
        </w:r>
        <w:r>
          <w:rPr>
            <w:webHidden/>
          </w:rPr>
          <w:fldChar w:fldCharType="separate"/>
        </w:r>
        <w:r>
          <w:rPr>
            <w:rStyle w:val="Style31"/>
            <w:i w:val="false"/>
            <w:vanish w:val="false"/>
            <w:sz w:val="24"/>
            <w:szCs w:val="24"/>
          </w:rPr>
          <w:t>126</w:t>
        </w:r>
        <w:r>
          <w:rPr>
            <w:webHidden/>
          </w:rPr>
          <w:fldChar w:fldCharType="end"/>
        </w:r>
      </w:hyperlink>
    </w:p>
    <w:p>
      <w:pPr>
        <w:pStyle w:val="TableofFigures"/>
        <w:tabs>
          <w:tab w:val="clear" w:pos="709"/>
          <w:tab w:val="right" w:pos="9061" w:leader="dot"/>
        </w:tabs>
        <w:rPr>
          <w:i w:val="false"/>
          <w:i w:val="false"/>
          <w:sz w:val="24"/>
          <w:szCs w:val="24"/>
          <w:lang w:val="ru-RU"/>
        </w:rPr>
      </w:pPr>
      <w:r>
        <w:rPr>
          <w:i w:val="false"/>
          <w:sz w:val="24"/>
          <w:szCs w:val="24"/>
          <w:lang w:val="ru-RU"/>
        </w:rPr>
        <w:t>Рисунок 10.1 Постановление Городской Управы города Калуги №277 от 27.07.2022 о присвоении статуса ЕТО МУП "Калугатеплосеть";  ООО "Энерготранс";  АО"КЗТА"; ООО "Тепло-сервис"…..…………………………………………………………………………….132</w:t>
      </w:r>
    </w:p>
    <w:p>
      <w:pPr>
        <w:pStyle w:val="TableofFigures"/>
        <w:tabs>
          <w:tab w:val="clear" w:pos="709"/>
          <w:tab w:val="right" w:pos="9061" w:leader="dot"/>
        </w:tabs>
        <w:rPr>
          <w:i w:val="false"/>
          <w:i w:val="false"/>
          <w:sz w:val="24"/>
          <w:szCs w:val="24"/>
          <w:lang w:val="ru-RU"/>
        </w:rPr>
      </w:pPr>
      <w:r>
        <w:rPr>
          <w:i w:val="false"/>
          <w:sz w:val="24"/>
          <w:szCs w:val="24"/>
          <w:lang w:val="ru-RU"/>
        </w:rPr>
        <w:t>Рисунок 10.2 Постановление Городской Управы города Калуги №388 от 28.10.2022 о лишении статуса ЕТО АО "Калужский завод Ремпутьмаш"………………………….…….133</w:t>
      </w:r>
    </w:p>
    <w:p>
      <w:pPr>
        <w:pStyle w:val="TableofFigures"/>
        <w:tabs>
          <w:tab w:val="clear" w:pos="709"/>
          <w:tab w:val="right" w:pos="9061" w:leader="dot"/>
        </w:tabs>
        <w:rPr>
          <w:i w:val="false"/>
          <w:i w:val="false"/>
          <w:sz w:val="24"/>
          <w:szCs w:val="24"/>
          <w:lang w:val="ru-RU"/>
        </w:rPr>
      </w:pPr>
      <w:r>
        <w:rPr>
          <w:i w:val="false"/>
          <w:sz w:val="24"/>
          <w:szCs w:val="24"/>
          <w:lang w:val="ru-RU"/>
        </w:rPr>
        <w:t>Рисунок 10.3 Постановление Городской Управы города Калуги №125 от 06.04.2023 о лишении статуса ЕТО АО "КЗТА"………………………………………………………..….134</w:t>
      </w:r>
    </w:p>
    <w:p>
      <w:pPr>
        <w:pStyle w:val="TableofFigures"/>
        <w:tabs>
          <w:tab w:val="clear" w:pos="709"/>
          <w:tab w:val="right" w:pos="9061" w:leader="dot"/>
        </w:tabs>
        <w:rPr>
          <w:i w:val="false"/>
          <w:i w:val="false"/>
          <w:sz w:val="24"/>
          <w:szCs w:val="24"/>
          <w:lang w:val="ru-RU"/>
        </w:rPr>
      </w:pPr>
      <w:r>
        <w:rPr>
          <w:i w:val="false"/>
          <w:sz w:val="24"/>
          <w:szCs w:val="24"/>
          <w:lang w:val="ru-RU"/>
        </w:rPr>
        <w:t>Рисунок 10.4 Постановление Городской Управы города Калуги №194 от 06.06.2023 о присвоении статуса ЕТО  АО"Азимут"……………………………………………………....135</w:t>
      </w:r>
    </w:p>
    <w:p>
      <w:pPr>
        <w:pStyle w:val="TableofFigures"/>
        <w:tabs>
          <w:tab w:val="clear" w:pos="709"/>
          <w:tab w:val="right" w:pos="9061" w:leader="dot"/>
        </w:tabs>
        <w:rPr>
          <w:i w:val="false"/>
          <w:i w:val="false"/>
          <w:sz w:val="24"/>
          <w:szCs w:val="24"/>
          <w:lang w:val="ru-RU"/>
        </w:rPr>
      </w:pPr>
      <w:r>
        <w:rPr>
          <w:i w:val="false"/>
          <w:sz w:val="24"/>
          <w:szCs w:val="24"/>
          <w:lang w:val="ru-RU"/>
        </w:rPr>
        <w:t>Рисунок 10.5 Постановление Городской Управы города Калуги №277 от 02.08.2022 о присвоении статуса ЕТО ООО "ТерраИнвест";  ООО "Форик"…………………………….137</w:t>
      </w:r>
    </w:p>
    <w:p>
      <w:pPr>
        <w:pStyle w:val="TableofFigures"/>
        <w:tabs>
          <w:tab w:val="clear" w:pos="709"/>
          <w:tab w:val="right" w:pos="9061" w:leader="dot"/>
        </w:tabs>
        <w:rPr>
          <w:i w:val="false"/>
          <w:i w:val="false"/>
          <w:sz w:val="24"/>
          <w:szCs w:val="24"/>
          <w:lang w:val="ru-RU"/>
        </w:rPr>
      </w:pPr>
      <w:r>
        <w:rPr>
          <w:i w:val="false"/>
          <w:sz w:val="24"/>
          <w:szCs w:val="24"/>
          <w:lang w:val="ru-RU"/>
        </w:rPr>
        <w:t>Рисунок 10.6 Постановление Городской Управы города Калуги №378 от 10.10.2023 о лишении статуса ЕТО ООО "Аркаим"……………………………………………………….138</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rPr>
          <w:i w:val="false"/>
          <w:sz w:val="24"/>
          <w:szCs w:val="24"/>
          <w:lang w:val="ru-RU"/>
        </w:rPr>
        <w:t>Рисунок 10.7 Постановление Городской Управы города Калуги №478 от 19.12.2022 о присвоении статуса ЕТО МУП "Калугатеплосеть"………………………………………….139</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1">
        <w:r>
          <w:rPr>
            <w:rStyle w:val="Style31"/>
            <w:rFonts w:eastAsia="Microsoft YaHei"/>
            <w:bCs/>
            <w:i w:val="false"/>
            <w:sz w:val="24"/>
            <w:szCs w:val="24"/>
            <w:lang w:val="ru-RU"/>
          </w:rPr>
          <w:t>Рисунок 11.1. Ра</w:t>
        </w:r>
        <w:r>
          <w:rPr>
            <w:rStyle w:val="Style31"/>
            <w:rFonts w:eastAsia="Microsoft YaHei"/>
            <w:bCs/>
            <w:i w:val="false"/>
            <w:sz w:val="24"/>
            <w:szCs w:val="24"/>
          </w:rPr>
          <w:t>спределение присоединенной нагрузки между теплоснабжающими организациями МО «Город Калуга» в 2012 году</w:t>
        </w:r>
        <w:r>
          <w:rPr>
            <w:webHidden/>
          </w:rPr>
          <w:fldChar w:fldCharType="begin"/>
        </w:r>
        <w:r>
          <w:rPr>
            <w:webHidden/>
          </w:rPr>
          <w:instrText xml:space="preserve">PAGEREF _Toc71274691 \h</w:instrText>
        </w:r>
        <w:r>
          <w:rPr>
            <w:webHidden/>
          </w:rPr>
          <w:fldChar w:fldCharType="separate"/>
        </w:r>
        <w:r>
          <w:rPr>
            <w:rStyle w:val="Style31"/>
            <w:i w:val="false"/>
            <w:vanish w:val="false"/>
            <w:sz w:val="24"/>
            <w:szCs w:val="24"/>
          </w:rPr>
          <w:tab/>
          <w:t>166</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2">
        <w:r>
          <w:rPr>
            <w:rStyle w:val="Style31"/>
            <w:rFonts w:eastAsia="Microsoft YaHei"/>
            <w:bCs/>
            <w:i w:val="false"/>
            <w:sz w:val="24"/>
            <w:szCs w:val="24"/>
          </w:rPr>
          <w:t>Рисунок 11.2. Распределение присоединенной нагрузки между  теплоснабжающими организациями МО «Город Калуга» в 2017 году</w:t>
        </w:r>
        <w:r>
          <w:rPr>
            <w:webHidden/>
          </w:rPr>
          <w:fldChar w:fldCharType="begin"/>
        </w:r>
        <w:r>
          <w:rPr>
            <w:webHidden/>
          </w:rPr>
          <w:instrText xml:space="preserve">PAGEREF _Toc71274692 \h</w:instrText>
        </w:r>
        <w:r>
          <w:rPr>
            <w:webHidden/>
          </w:rPr>
          <w:fldChar w:fldCharType="separate"/>
        </w:r>
        <w:r>
          <w:rPr>
            <w:rStyle w:val="Style31"/>
            <w:i w:val="false"/>
            <w:vanish w:val="false"/>
            <w:sz w:val="24"/>
            <w:szCs w:val="24"/>
          </w:rPr>
          <w:tab/>
          <w:t>167</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3">
        <w:r>
          <w:rPr>
            <w:rStyle w:val="Style31"/>
            <w:rFonts w:eastAsia="Microsoft YaHei"/>
            <w:bCs/>
            <w:i w:val="false"/>
            <w:sz w:val="24"/>
            <w:szCs w:val="24"/>
          </w:rPr>
          <w:t>Рисунок 11.3. Распределение присоединенной нагрузки между  теплоснабжающими организациями МО «Город Калуга» в 2022 году</w:t>
        </w:r>
        <w:r>
          <w:rPr>
            <w:webHidden/>
          </w:rPr>
          <w:fldChar w:fldCharType="begin"/>
        </w:r>
        <w:r>
          <w:rPr>
            <w:webHidden/>
          </w:rPr>
          <w:instrText xml:space="preserve">PAGEREF _Toc71274693 \h</w:instrText>
        </w:r>
        <w:r>
          <w:rPr>
            <w:webHidden/>
          </w:rPr>
          <w:fldChar w:fldCharType="separate"/>
        </w:r>
        <w:r>
          <w:rPr>
            <w:rStyle w:val="Style31"/>
            <w:i w:val="false"/>
            <w:vanish w:val="false"/>
            <w:sz w:val="24"/>
            <w:szCs w:val="24"/>
          </w:rPr>
          <w:tab/>
          <w:t>167</w:t>
        </w:r>
        <w:r>
          <w:rPr>
            <w:webHidden/>
          </w:rPr>
          <w:fldChar w:fldCharType="end"/>
        </w:r>
      </w:hyperlink>
    </w:p>
    <w:p>
      <w:pPr>
        <w:pStyle w:val="TableofFigures"/>
        <w:numPr>
          <w:ilvl w:val="0"/>
          <w:numId w:val="0"/>
        </w:numPr>
        <w:tabs>
          <w:tab w:val="clear" w:pos="709"/>
          <w:tab w:val="right" w:pos="9061" w:leader="dot"/>
        </w:tabs>
        <w:ind w:hanging="0"/>
        <w:outlineLvl w:val="0"/>
        <w:rPr>
          <w:i w:val="false"/>
          <w:i w:val="false"/>
          <w:sz w:val="24"/>
          <w:szCs w:val="24"/>
        </w:rPr>
      </w:pPr>
      <w:hyperlink w:anchor="_Toc71274694">
        <w:r>
          <w:rPr>
            <w:rStyle w:val="Style31"/>
            <w:rFonts w:eastAsia="Microsoft YaHei"/>
            <w:bCs/>
            <w:i w:val="false"/>
            <w:sz w:val="24"/>
            <w:szCs w:val="24"/>
          </w:rPr>
          <w:t>Рисунок 11.4.  Распределение присоединенной нагрузки между теплоснабжающими организациями МО «Город Калуга» в 2027 году</w:t>
        </w:r>
        <w:r>
          <w:rPr>
            <w:webHidden/>
          </w:rPr>
          <w:fldChar w:fldCharType="begin"/>
        </w:r>
        <w:r>
          <w:rPr>
            <w:webHidden/>
          </w:rPr>
          <w:instrText xml:space="preserve">PAGEREF _Toc71274694 \h</w:instrText>
        </w:r>
        <w:r>
          <w:rPr>
            <w:webHidden/>
          </w:rPr>
          <w:fldChar w:fldCharType="separate"/>
        </w:r>
        <w:r>
          <w:rPr>
            <w:rStyle w:val="Style31"/>
            <w:i w:val="false"/>
            <w:vanish w:val="false"/>
            <w:sz w:val="24"/>
            <w:szCs w:val="24"/>
          </w:rPr>
          <w:tab/>
          <w:t>168</w:t>
        </w:r>
        <w:r>
          <w:rPr>
            <w:webHidden/>
          </w:rPr>
          <w:fldChar w:fldCharType="end"/>
        </w:r>
      </w:hyperlink>
    </w:p>
    <w:p>
      <w:pPr>
        <w:pStyle w:val="TableofFigures"/>
        <w:numPr>
          <w:ilvl w:val="0"/>
          <w:numId w:val="0"/>
        </w:numPr>
        <w:tabs>
          <w:tab w:val="clear" w:pos="709"/>
          <w:tab w:val="right" w:pos="9061" w:leader="dot"/>
        </w:tabs>
        <w:ind w:hanging="0"/>
        <w:outlineLvl w:val="0"/>
        <w:rPr>
          <w:rFonts w:eastAsia="" w:eastAsiaTheme="minorEastAsia"/>
          <w:i w:val="false"/>
          <w:i w:val="false"/>
          <w:iCs w:val="false"/>
          <w:spacing w:val="0"/>
          <w:sz w:val="24"/>
          <w:szCs w:val="24"/>
          <w:lang w:val="ru-RU" w:eastAsia="ru-RU"/>
        </w:rPr>
      </w:pPr>
      <w:r>
        <w:rPr/>
      </w:r>
      <w:r>
        <w:rPr/>
        <w:fldChar w:fldCharType="end"/>
      </w:r>
    </w:p>
    <w:p>
      <w:pPr>
        <w:pStyle w:val="Normal"/>
        <w:rPr>
          <w:rFonts w:ascii="Times New Roman" w:hAnsi="Times New Roman"/>
          <w:b/>
          <w:bCs/>
          <w:sz w:val="24"/>
          <w:szCs w:val="24"/>
        </w:rPr>
      </w:pPr>
      <w:r>
        <w:rPr>
          <w:rFonts w:ascii="Times New Roman" w:hAnsi="Times New Roman"/>
          <w:b/>
          <w:bCs/>
          <w:sz w:val="24"/>
          <w:szCs w:val="24"/>
        </w:rPr>
      </w:r>
      <w:r>
        <w:br w:type="page"/>
      </w:r>
    </w:p>
    <w:p>
      <w:pPr>
        <w:pStyle w:val="Heading1"/>
        <w:numPr>
          <w:ilvl w:val="0"/>
          <w:numId w:val="0"/>
        </w:numPr>
        <w:pBdr>
          <w:top w:val="single" w:sz="48" w:space="3" w:color="FFFFFF"/>
          <w:left w:val="single" w:sz="6" w:space="0" w:color="FFFFFF"/>
          <w:bottom w:val="single" w:sz="6" w:space="3" w:color="FFFFFF"/>
        </w:pBdr>
        <w:spacing w:before="0" w:after="120"/>
        <w:ind w:firstLine="709" w:left="0"/>
        <w:jc w:val="center"/>
        <w:rPr/>
      </w:pPr>
      <w:bookmarkStart w:id="63" w:name="_Toc132981665"/>
      <w:r>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bookmarkEnd w:id="63"/>
    </w:p>
    <w:p>
      <w:pPr>
        <w:pStyle w:val="ListParagraph"/>
        <w:numPr>
          <w:ilvl w:val="1"/>
          <w:numId w:val="28"/>
        </w:numPr>
        <w:suppressAutoHyphens w:val="true"/>
        <w:spacing w:before="240" w:after="120"/>
        <w:ind w:firstLine="709" w:left="0"/>
        <w:contextualSpacing/>
        <w:jc w:val="center"/>
        <w:outlineLvl w:val="1"/>
        <w:rPr>
          <w:rFonts w:ascii="Arial Black" w:hAnsi="Arial Black"/>
          <w:spacing w:val="-10"/>
          <w:kern w:val="2"/>
          <w:sz w:val="24"/>
          <w:szCs w:val="24"/>
        </w:rPr>
      </w:pPr>
      <w:bookmarkStart w:id="64" w:name="_Toc365892489"/>
      <w:bookmarkStart w:id="65" w:name="_Toc331430027"/>
      <w:r>
        <w:rPr>
          <w:rFonts w:ascii="Arial Black" w:hAnsi="Arial Black"/>
          <w:spacing w:val="-10"/>
          <w:kern w:val="2"/>
          <w:sz w:val="24"/>
          <w:szCs w:val="24"/>
        </w:rPr>
        <w:t xml:space="preserve"> </w:t>
      </w:r>
      <w:bookmarkStart w:id="66" w:name="_Toc132981666"/>
      <w:r>
        <w:rPr>
          <w:rFonts w:ascii="Arial Black" w:hAnsi="Arial Black"/>
          <w:spacing w:val="-10"/>
          <w:kern w:val="2"/>
          <w:sz w:val="24"/>
          <w:szCs w:val="24"/>
        </w:rPr>
        <w:t>Общие положения</w:t>
      </w:r>
      <w:bookmarkEnd w:id="66"/>
    </w:p>
    <w:p>
      <w:pPr>
        <w:pStyle w:val="Normal"/>
        <w:ind w:firstLine="426"/>
        <w:rPr>
          <w:sz w:val="28"/>
          <w:szCs w:val="28"/>
        </w:rPr>
      </w:pPr>
      <w:r>
        <w:rPr>
          <w:sz w:val="28"/>
          <w:szCs w:val="28"/>
        </w:rPr>
      </w:r>
    </w:p>
    <w:p>
      <w:pPr>
        <w:pStyle w:val="Normal"/>
        <w:spacing w:lineRule="auto" w:line="360"/>
        <w:ind w:firstLine="709"/>
        <w:rPr>
          <w:sz w:val="24"/>
          <w:szCs w:val="24"/>
        </w:rPr>
      </w:pPr>
      <w:r>
        <w:rPr>
          <w:sz w:val="24"/>
          <w:szCs w:val="24"/>
        </w:rPr>
        <w:t>В соответствии с Требованиями к схемам теплоснабжения, в состав данного раздела включаются:</w:t>
      </w:r>
    </w:p>
    <w:p>
      <w:pPr>
        <w:pStyle w:val="Normal"/>
        <w:numPr>
          <w:ilvl w:val="0"/>
          <w:numId w:val="12"/>
        </w:numPr>
        <w:spacing w:lineRule="auto" w:line="360" w:before="120" w:after="120"/>
        <w:ind w:firstLine="709" w:left="0"/>
        <w:contextualSpacing/>
        <w:rPr>
          <w:sz w:val="24"/>
          <w:szCs w:val="24"/>
        </w:rPr>
      </w:pPr>
      <w:r>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p>
    <w:p>
      <w:pPr>
        <w:pStyle w:val="Normal"/>
        <w:numPr>
          <w:ilvl w:val="0"/>
          <w:numId w:val="12"/>
        </w:numPr>
        <w:spacing w:lineRule="auto" w:line="360" w:before="120" w:after="120"/>
        <w:ind w:firstLine="709" w:left="0"/>
        <w:contextualSpacing/>
        <w:rPr>
          <w:sz w:val="24"/>
          <w:szCs w:val="24"/>
        </w:rPr>
      </w:pPr>
      <w:r>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pPr>
        <w:pStyle w:val="Normal"/>
        <w:numPr>
          <w:ilvl w:val="0"/>
          <w:numId w:val="12"/>
        </w:numPr>
        <w:spacing w:lineRule="auto" w:line="360" w:before="120" w:after="120"/>
        <w:ind w:firstLine="709" w:left="0"/>
        <w:contextualSpacing/>
        <w:rPr>
          <w:sz w:val="24"/>
          <w:szCs w:val="24"/>
        </w:rPr>
      </w:pPr>
      <w:r>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pPr>
        <w:pStyle w:val="Normal"/>
        <w:spacing w:lineRule="auto" w:line="360"/>
        <w:ind w:firstLine="709"/>
        <w:rPr>
          <w:sz w:val="24"/>
          <w:szCs w:val="24"/>
        </w:rPr>
      </w:pPr>
      <w:r>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pPr>
        <w:pStyle w:val="Normal"/>
        <w:spacing w:lineRule="auto" w:line="360" w:before="120" w:after="0"/>
        <w:ind w:firstLine="709"/>
        <w:rPr>
          <w:rFonts w:eastAsia="Calibri" w:cs="Arial" w:eastAsiaTheme="minorHAnsi"/>
          <w:sz w:val="24"/>
        </w:rPr>
      </w:pPr>
      <w:r>
        <w:rPr>
          <w:rFonts w:eastAsia="Calibri" w:cs="Arial" w:eastAsiaTheme="minorHAnsi"/>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ее элементы должны быть достаточно малы, чтобы обеспечить однозначность привязки возникающих приростов к сетям систем</w:t>
      </w:r>
      <w:r>
        <w:rPr>
          <w:rFonts w:eastAsia="Calibri" w:cs="Arial" w:eastAsiaTheme="minorHAnsi"/>
          <w:sz w:val="24"/>
        </w:rPr>
        <w:t>ы</w:t>
      </w:r>
      <w:r>
        <w:rPr>
          <w:rFonts w:eastAsia="Calibri" w:cs="Arial"/>
          <w:sz w:val="24"/>
        </w:rPr>
        <w:t xml:space="preserve"> </w:t>
      </w:r>
      <w:r>
        <w:rPr>
          <w:rFonts w:eastAsia="Calibri" w:cs="Arial" w:eastAsiaTheme="minorHAnsi"/>
          <w:sz w:val="24"/>
        </w:rPr>
        <w:t>теплоснабжения</w:t>
      </w:r>
      <w:r>
        <w:rPr>
          <w:rFonts w:eastAsia="Calibri" w:cs="Arial"/>
          <w:sz w:val="24"/>
        </w:rPr>
        <w:t xml:space="preserve">. </w:t>
      </w:r>
      <w:r>
        <w:rPr>
          <w:rFonts w:eastAsia="Calibri" w:cs="Arial" w:eastAsiaTheme="minorHAnsi"/>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pPr>
        <w:pStyle w:val="Normal"/>
        <w:spacing w:lineRule="auto" w:line="360" w:before="120" w:after="0"/>
        <w:ind w:firstLine="709"/>
        <w:rPr>
          <w:rFonts w:eastAsia="Calibri" w:cs="Arial" w:eastAsiaTheme="minorHAnsi"/>
          <w:sz w:val="24"/>
        </w:rPr>
      </w:pPr>
      <w:r>
        <w:rPr>
          <w:rFonts w:eastAsia="Calibri" w:cs="Arial" w:eastAsiaTheme="minorHAnsi"/>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pPr>
        <w:pStyle w:val="Normal"/>
        <w:spacing w:lineRule="auto" w:line="360" w:before="120" w:after="0"/>
        <w:ind w:firstLine="709"/>
        <w:rPr>
          <w:rFonts w:eastAsia="Calibri" w:cs="Arial" w:eastAsiaTheme="minorHAnsi"/>
          <w:sz w:val="24"/>
        </w:rPr>
      </w:pPr>
      <w:r>
        <w:rPr>
          <w:rFonts w:eastAsia="Calibri" w:cs="Arial" w:eastAsiaTheme="minorHAnsi"/>
          <w:sz w:val="24"/>
        </w:rPr>
        <w:t>Общий вид принятой сетки расчетных элементов территориального деления приведен на рисунке 1.2, фрагмент – на рисунке 1.1.</w:t>
      </w:r>
    </w:p>
    <w:p>
      <w:pPr>
        <w:pStyle w:val="Normal"/>
        <w:spacing w:lineRule="auto" w:line="360" w:before="120" w:after="0"/>
        <w:ind w:firstLine="708"/>
        <w:rPr>
          <w:rFonts w:eastAsia="Calibri" w:cs="Arial" w:eastAsiaTheme="minorHAnsi"/>
          <w:sz w:val="24"/>
        </w:rPr>
      </w:pPr>
      <w:r>
        <w:rPr>
          <w:rFonts w:eastAsia="Calibri" w:cs="Arial" w:eastAsiaTheme="minorHAnsi"/>
          <w:sz w:val="24"/>
        </w:rPr>
      </w:r>
    </w:p>
    <w:p>
      <w:pPr>
        <w:pStyle w:val="Normal"/>
        <w:spacing w:lineRule="auto" w:line="360" w:before="120" w:after="200"/>
        <w:ind w:hanging="0"/>
        <w:jc w:val="center"/>
        <w:rPr>
          <w:b/>
          <w:bCs/>
          <w:sz w:val="18"/>
          <w:szCs w:val="18"/>
        </w:rPr>
      </w:pPr>
      <w:r>
        <w:rPr/>
        <w:drawing>
          <wp:inline distT="0" distB="0" distL="0" distR="0">
            <wp:extent cx="5760085" cy="3228975"/>
            <wp:effectExtent l="0" t="0" r="0" b="0"/>
            <wp:docPr id="3"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 descr=""/>
                    <pic:cNvPicPr>
                      <a:picLocks noChangeAspect="1" noChangeArrowheads="1"/>
                    </pic:cNvPicPr>
                  </pic:nvPicPr>
                  <pic:blipFill>
                    <a:blip r:embed="rId9"/>
                    <a:stretch>
                      <a:fillRect/>
                    </a:stretch>
                  </pic:blipFill>
                  <pic:spPr bwMode="auto">
                    <a:xfrm>
                      <a:off x="0" y="0"/>
                      <a:ext cx="5760085" cy="3228975"/>
                    </a:xfrm>
                    <a:prstGeom prst="rect">
                      <a:avLst/>
                    </a:prstGeom>
                    <a:noFill/>
                  </pic:spPr>
                </pic:pic>
              </a:graphicData>
            </a:graphic>
          </wp:inline>
        </w:drawing>
      </w:r>
    </w:p>
    <w:p>
      <w:pPr>
        <w:pStyle w:val="Normal"/>
        <w:spacing w:lineRule="auto" w:line="360" w:before="120" w:after="200"/>
        <w:ind w:hanging="0"/>
        <w:jc w:val="center"/>
        <w:rPr>
          <w:b/>
          <w:bCs/>
          <w:sz w:val="18"/>
          <w:szCs w:val="18"/>
        </w:rPr>
      </w:pPr>
      <w:bookmarkStart w:id="67" w:name="_Toc71274673"/>
      <w:bookmarkStart w:id="68" w:name="_Toc368304791"/>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1</w:t>
      </w:r>
      <w:r>
        <w:rPr>
          <w:sz w:val="18"/>
          <w:b/>
          <w:szCs w:val="18"/>
          <w:bCs/>
        </w:rPr>
        <w:fldChar w:fldCharType="end"/>
      </w:r>
      <w:r>
        <w:rPr>
          <w:b/>
          <w:bCs/>
          <w:sz w:val="18"/>
          <w:szCs w:val="18"/>
        </w:rPr>
        <w:t>. Сетка расчетных элементов территориального деления (кадастровых кварталов) муниципального образования «Город Калуга» (фрагмент)</w:t>
      </w:r>
      <w:bookmarkEnd w:id="67"/>
      <w:bookmarkEnd w:id="68"/>
    </w:p>
    <w:p>
      <w:pPr>
        <w:pStyle w:val="Normal"/>
        <w:spacing w:lineRule="auto" w:line="360" w:before="120" w:after="200"/>
        <w:ind w:hanging="0"/>
        <w:jc w:val="center"/>
        <w:rPr>
          <w:b/>
          <w:bCs/>
          <w:sz w:val="18"/>
          <w:szCs w:val="18"/>
        </w:rPr>
      </w:pPr>
      <w:r>
        <w:rPr/>
        <w:drawing>
          <wp:inline distT="0" distB="0" distL="0" distR="0">
            <wp:extent cx="5705475" cy="7890510"/>
            <wp:effectExtent l="0" t="0" r="0" b="0"/>
            <wp:docPr id="4"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descr=""/>
                    <pic:cNvPicPr>
                      <a:picLocks noChangeAspect="1" noChangeArrowheads="1"/>
                    </pic:cNvPicPr>
                  </pic:nvPicPr>
                  <pic:blipFill>
                    <a:blip r:embed="rId10"/>
                    <a:srcRect l="3467" t="1137" r="5614" b="2279"/>
                    <a:stretch>
                      <a:fillRect/>
                    </a:stretch>
                  </pic:blipFill>
                  <pic:spPr bwMode="auto">
                    <a:xfrm>
                      <a:off x="0" y="0"/>
                      <a:ext cx="5705475" cy="7890510"/>
                    </a:xfrm>
                    <a:prstGeom prst="rect">
                      <a:avLst/>
                    </a:prstGeom>
                    <a:noFill/>
                  </pic:spPr>
                </pic:pic>
              </a:graphicData>
            </a:graphic>
          </wp:inline>
        </w:drawing>
      </w:r>
    </w:p>
    <w:p>
      <w:pPr>
        <w:pStyle w:val="Normal"/>
        <w:spacing w:lineRule="auto" w:line="360" w:before="120" w:after="200"/>
        <w:ind w:hanging="0"/>
        <w:jc w:val="center"/>
        <w:rPr>
          <w:b/>
          <w:bCs/>
          <w:sz w:val="18"/>
          <w:szCs w:val="18"/>
        </w:rPr>
      </w:pPr>
      <w:bookmarkStart w:id="69" w:name="_Toc71274674"/>
      <w:bookmarkStart w:id="70" w:name="_Toc368304790"/>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2</w:t>
      </w:r>
      <w:r>
        <w:rPr>
          <w:sz w:val="18"/>
          <w:b/>
          <w:szCs w:val="18"/>
          <w:bCs/>
        </w:rPr>
        <w:fldChar w:fldCharType="end"/>
      </w:r>
      <w:r>
        <w:rPr>
          <w:b/>
          <w:bCs/>
          <w:sz w:val="18"/>
          <w:szCs w:val="18"/>
        </w:rPr>
        <w:t>. Сетка расчетных элементов территориального деления (кадастровых кварталов)  муниципального образования «Город Калуга» (общий вид)</w:t>
      </w:r>
      <w:bookmarkEnd w:id="69"/>
      <w:bookmarkEnd w:id="70"/>
    </w:p>
    <w:p>
      <w:pPr>
        <w:pStyle w:val="Normal"/>
        <w:spacing w:lineRule="auto" w:line="360" w:before="120" w:after="200"/>
        <w:ind w:hanging="0"/>
        <w:jc w:val="center"/>
        <w:rPr>
          <w:b/>
          <w:bCs/>
          <w:sz w:val="18"/>
          <w:szCs w:val="18"/>
        </w:rPr>
      </w:pPr>
      <w:r>
        <w:rPr>
          <w:b/>
          <w:bCs/>
          <w:sz w:val="18"/>
          <w:szCs w:val="18"/>
        </w:rPr>
      </w:r>
    </w:p>
    <w:p>
      <w:pPr>
        <w:pStyle w:val="Normal"/>
        <w:spacing w:lineRule="auto" w:line="360" w:before="120" w:after="200"/>
        <w:ind w:hanging="0"/>
        <w:jc w:val="center"/>
        <w:rPr>
          <w:b/>
          <w:bCs/>
          <w:sz w:val="18"/>
          <w:szCs w:val="18"/>
        </w:rPr>
      </w:pPr>
      <w:r>
        <w:rPr>
          <w:b/>
          <w:bCs/>
          <w:sz w:val="18"/>
          <w:szCs w:val="18"/>
        </w:rPr>
      </w:r>
    </w:p>
    <w:p>
      <w:pPr>
        <w:pStyle w:val="ListParagraph"/>
        <w:numPr>
          <w:ilvl w:val="1"/>
          <w:numId w:val="28"/>
        </w:numPr>
        <w:suppressAutoHyphens w:val="true"/>
        <w:spacing w:before="240" w:after="120"/>
        <w:ind w:firstLine="567" w:left="0"/>
        <w:contextualSpacing/>
        <w:jc w:val="center"/>
        <w:outlineLvl w:val="1"/>
        <w:rPr>
          <w:rFonts w:ascii="Arial Black" w:hAnsi="Arial Black"/>
          <w:spacing w:val="-10"/>
          <w:kern w:val="2"/>
          <w:sz w:val="24"/>
          <w:szCs w:val="24"/>
        </w:rPr>
      </w:pPr>
      <w:r>
        <w:rPr>
          <w:rFonts w:ascii="Arial Black" w:hAnsi="Arial Black"/>
          <w:spacing w:val="-10"/>
          <w:kern w:val="2"/>
          <w:sz w:val="24"/>
          <w:szCs w:val="24"/>
        </w:rPr>
        <w:t xml:space="preserve"> </w:t>
      </w:r>
      <w:bookmarkStart w:id="71" w:name="_Toc132981667"/>
      <w:r>
        <w:rPr>
          <w:rFonts w:ascii="Arial Black" w:hAnsi="Arial Black"/>
          <w:spacing w:val="-10"/>
          <w:kern w:val="2"/>
          <w:sz w:val="24"/>
          <w:szCs w:val="24"/>
        </w:rPr>
        <w:t>Прогноз численности населения и застройки</w:t>
      </w:r>
      <w:bookmarkEnd w:id="64"/>
      <w:bookmarkEnd w:id="65"/>
      <w:bookmarkEnd w:id="71"/>
    </w:p>
    <w:p>
      <w:pPr>
        <w:pStyle w:val="Normal"/>
        <w:rPr>
          <w:sz w:val="28"/>
          <w:szCs w:val="28"/>
        </w:rPr>
      </w:pPr>
      <w:r>
        <w:rPr>
          <w:sz w:val="28"/>
          <w:szCs w:val="28"/>
        </w:rPr>
      </w:r>
    </w:p>
    <w:p>
      <w:pPr>
        <w:pStyle w:val="Normal"/>
        <w:spacing w:lineRule="auto" w:line="360"/>
        <w:rPr>
          <w:sz w:val="24"/>
          <w:szCs w:val="24"/>
        </w:rPr>
      </w:pPr>
      <w:r>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pPr>
        <w:pStyle w:val="Normal"/>
        <w:spacing w:lineRule="auto" w:line="360"/>
        <w:rPr>
          <w:rFonts w:cs="Arial"/>
          <w:sz w:val="24"/>
        </w:rPr>
      </w:pPr>
      <w:r>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pPr>
        <w:pStyle w:val="Normal"/>
        <w:spacing w:lineRule="auto" w:line="360"/>
        <w:rPr>
          <w:rFonts w:cs="Arial"/>
          <w:sz w:val="24"/>
        </w:rPr>
      </w:pPr>
      <w:r>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pPr>
        <w:pStyle w:val="Normal"/>
        <w:spacing w:lineRule="auto" w:line="360"/>
        <w:rPr>
          <w:rFonts w:cs="Arial"/>
          <w:sz w:val="24"/>
        </w:rPr>
      </w:pPr>
      <w:r>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pPr>
        <w:pStyle w:val="Normal"/>
        <w:spacing w:lineRule="auto" w:line="360"/>
        <w:rPr>
          <w:rFonts w:cs="Arial"/>
          <w:sz w:val="24"/>
        </w:rPr>
      </w:pPr>
      <w:r>
        <w:rPr>
          <w:rFonts w:cs="Arial"/>
          <w:sz w:val="24"/>
        </w:rPr>
        <w:t>В качестве базовых показателей развития муниципального образования приняты, как указано выше, данные Генерального плана:</w:t>
      </w:r>
    </w:p>
    <w:p>
      <w:pPr>
        <w:pStyle w:val="Normal"/>
        <w:spacing w:lineRule="auto" w:line="360"/>
        <w:rPr>
          <w:rFonts w:cs="Arial"/>
          <w:sz w:val="24"/>
        </w:rPr>
      </w:pPr>
      <w:r>
        <w:rPr>
          <w:rFonts w:cs="Arial"/>
          <w:b/>
          <w:i/>
          <w:sz w:val="24"/>
          <w:u w:val="single"/>
        </w:rPr>
        <w:t>Для города Калуги</w:t>
      </w:r>
      <w:r>
        <w:rPr>
          <w:rFonts w:cs="Arial"/>
          <w:sz w:val="24"/>
        </w:rPr>
        <w:t xml:space="preserve"> (подп. 3.3, 3.4 Генерального плана, утвержденного постановлением Городской Думы городского округа «Город Калуга» от 31.10.2007 № 23, с учетом более поздних редакций): </w:t>
      </w:r>
    </w:p>
    <w:p>
      <w:pPr>
        <w:pStyle w:val="Normal"/>
        <w:spacing w:lineRule="auto" w:line="360"/>
        <w:rPr>
          <w:rFonts w:cs="Arial"/>
          <w:sz w:val="24"/>
        </w:rPr>
      </w:pPr>
      <w:r>
        <w:rPr>
          <w:rFonts w:cs="Arial"/>
          <w:sz w:val="24"/>
        </w:rPr>
        <w:t>«3.3. Объемы жилого фонда города Калуги на расчетный срок</w:t>
      </w:r>
    </w:p>
    <w:p>
      <w:pPr>
        <w:pStyle w:val="Normal"/>
        <w:spacing w:lineRule="auto" w:line="360"/>
        <w:rPr>
          <w:rFonts w:cs="Arial"/>
          <w:sz w:val="24"/>
        </w:rPr>
      </w:pPr>
      <w:r>
        <w:rPr>
          <w:rFonts w:cs="Arial"/>
          <w:sz w:val="24"/>
        </w:rPr>
        <w:t>1. Существующий сохраняемый жилищный фонд города Калуги составит 6474 тыс. кв. м.</w:t>
      </w:r>
    </w:p>
    <w:p>
      <w:pPr>
        <w:pStyle w:val="Normal"/>
        <w:spacing w:lineRule="auto" w:line="360"/>
        <w:rPr>
          <w:rFonts w:cs="Arial"/>
          <w:sz w:val="24"/>
        </w:rPr>
      </w:pPr>
      <w:r>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pPr>
        <w:pStyle w:val="Normal"/>
        <w:spacing w:lineRule="auto" w:line="360"/>
        <w:rPr>
          <w:rFonts w:cs="Arial"/>
          <w:sz w:val="24"/>
        </w:rPr>
      </w:pPr>
      <w:r>
        <w:rPr>
          <w:rFonts w:cs="Arial"/>
          <w:sz w:val="24"/>
        </w:rPr>
        <w:t>3. Средний показатель обеспеченности жилищным фондом - 38 кв. м/чел.</w:t>
      </w:r>
    </w:p>
    <w:p>
      <w:pPr>
        <w:pStyle w:val="Normal"/>
        <w:spacing w:lineRule="auto" w:line="360"/>
        <w:rPr>
          <w:rFonts w:cs="Arial"/>
          <w:sz w:val="24"/>
        </w:rPr>
      </w:pPr>
      <w:r>
        <w:rPr>
          <w:rFonts w:cs="Arial"/>
          <w:sz w:val="24"/>
        </w:rPr>
        <w:t>4. Жилищный фонд нового строительства в городе Калуге составит 6656,5 тыс. кв. м.</w:t>
      </w:r>
    </w:p>
    <w:p>
      <w:pPr>
        <w:pStyle w:val="Normal"/>
        <w:spacing w:lineRule="auto" w:line="360"/>
        <w:rPr>
          <w:rFonts w:cs="Arial"/>
          <w:sz w:val="24"/>
        </w:rPr>
      </w:pPr>
      <w:r>
        <w:rPr>
          <w:rFonts w:cs="Arial"/>
          <w:sz w:val="24"/>
        </w:rPr>
        <w:t>5. Жилищный фонд города Калуги на расчетный срок составит 13130,5 тыс. кв. м.</w:t>
      </w:r>
    </w:p>
    <w:p>
      <w:pPr>
        <w:pStyle w:val="Normal"/>
        <w:spacing w:lineRule="auto" w:line="360"/>
        <w:rPr>
          <w:rFonts w:cs="Arial"/>
          <w:sz w:val="24"/>
        </w:rPr>
      </w:pPr>
      <w:r>
        <w:rPr>
          <w:rFonts w:cs="Arial"/>
          <w:sz w:val="24"/>
        </w:rPr>
        <w:t>3.4. Объемы жилищного фонда города Калуги на 1 очередь</w:t>
      </w:r>
    </w:p>
    <w:p>
      <w:pPr>
        <w:pStyle w:val="Normal"/>
        <w:spacing w:lineRule="auto" w:line="360"/>
        <w:rPr>
          <w:rFonts w:cs="Arial"/>
          <w:sz w:val="24"/>
        </w:rPr>
      </w:pPr>
      <w:r>
        <w:rPr>
          <w:rFonts w:cs="Arial"/>
          <w:sz w:val="24"/>
        </w:rPr>
        <w:t>1. Существующий сохраняемый жилищный фонд составит 6474 тыс. кв. м общей площади.</w:t>
      </w:r>
    </w:p>
    <w:p>
      <w:pPr>
        <w:pStyle w:val="Normal"/>
        <w:spacing w:lineRule="auto" w:line="360"/>
        <w:rPr>
          <w:rFonts w:cs="Arial"/>
          <w:sz w:val="24"/>
        </w:rPr>
      </w:pPr>
      <w:r>
        <w:rPr>
          <w:rFonts w:cs="Arial"/>
          <w:sz w:val="24"/>
        </w:rPr>
        <w:t>2. Сносимый за период 1 очереди жилищный фонд составит 75 тыс. кв. м общей площади.</w:t>
      </w:r>
    </w:p>
    <w:p>
      <w:pPr>
        <w:pStyle w:val="Normal"/>
        <w:spacing w:lineRule="auto" w:line="360"/>
        <w:rPr>
          <w:rFonts w:cs="Arial"/>
          <w:sz w:val="24"/>
        </w:rPr>
      </w:pPr>
      <w:r>
        <w:rPr>
          <w:rFonts w:cs="Arial"/>
          <w:sz w:val="24"/>
        </w:rPr>
        <w:t>3. Средний показатель обеспеченности жилищным фондом - 23,5 кв. м/чел.</w:t>
      </w:r>
    </w:p>
    <w:p>
      <w:pPr>
        <w:pStyle w:val="Normal"/>
        <w:spacing w:lineRule="auto" w:line="360"/>
        <w:rPr>
          <w:rFonts w:cs="Arial"/>
          <w:sz w:val="24"/>
        </w:rPr>
      </w:pPr>
      <w:r>
        <w:rPr>
          <w:rFonts w:cs="Arial"/>
          <w:sz w:val="24"/>
        </w:rPr>
        <w:t>4. Жилищный фонд нового строительства составит 1703,6 тыс. кв. м общей площади».</w:t>
      </w:r>
    </w:p>
    <w:p>
      <w:pPr>
        <w:pStyle w:val="Normal"/>
        <w:spacing w:lineRule="auto" w:line="360"/>
        <w:rPr>
          <w:rFonts w:cs="Arial"/>
          <w:sz w:val="24"/>
        </w:rPr>
      </w:pPr>
      <w:r>
        <w:rPr>
          <w:rFonts w:cs="Arial"/>
          <w:b/>
          <w:i/>
          <w:sz w:val="24"/>
          <w:u w:val="single"/>
        </w:rPr>
        <w:t>Для сельских населенных пунктов</w:t>
      </w:r>
      <w:r>
        <w:rPr>
          <w:rFonts w:cs="Arial"/>
          <w:sz w:val="24"/>
        </w:rPr>
        <w:t xml:space="preserve"> (с учетом решения Городской Думы города Калуги от 27.06.2012 № 93):</w:t>
      </w:r>
    </w:p>
    <w:p>
      <w:pPr>
        <w:pStyle w:val="Normal"/>
        <w:spacing w:lineRule="auto" w:line="360"/>
        <w:rPr>
          <w:rFonts w:cs="Arial"/>
          <w:sz w:val="24"/>
        </w:rPr>
      </w:pPr>
      <w:r>
        <w:rPr>
          <w:rFonts w:cs="Arial"/>
          <w:sz w:val="24"/>
        </w:rPr>
        <w:t>Объемы жилого фонда сельских населенных пунктов на расчетный срок.</w:t>
      </w:r>
    </w:p>
    <w:p>
      <w:pPr>
        <w:pStyle w:val="Normal"/>
        <w:spacing w:lineRule="auto" w:line="360"/>
        <w:rPr>
          <w:rFonts w:cs="Arial"/>
          <w:sz w:val="24"/>
        </w:rPr>
      </w:pPr>
      <w:r>
        <w:rPr>
          <w:rFonts w:cs="Arial"/>
          <w:sz w:val="24"/>
        </w:rPr>
        <w:t>1. Существующий сохраняемый жилищный фонд составит 373,0 тыс.кв.м.</w:t>
      </w:r>
    </w:p>
    <w:p>
      <w:pPr>
        <w:pStyle w:val="Normal"/>
        <w:spacing w:lineRule="auto" w:line="360"/>
        <w:rPr>
          <w:rFonts w:cs="Arial"/>
          <w:sz w:val="24"/>
        </w:rPr>
      </w:pPr>
      <w:r>
        <w:rPr>
          <w:rFonts w:cs="Arial"/>
          <w:sz w:val="24"/>
        </w:rPr>
        <w:t>2. Средний показатель обеспеченности жилищным фондом – 21,3 кв.м/чел.</w:t>
      </w:r>
    </w:p>
    <w:p>
      <w:pPr>
        <w:pStyle w:val="Normal"/>
        <w:spacing w:lineRule="auto" w:line="360"/>
        <w:rPr>
          <w:rFonts w:cs="Arial"/>
          <w:sz w:val="24"/>
        </w:rPr>
      </w:pPr>
      <w:r>
        <w:rPr>
          <w:rFonts w:cs="Arial"/>
          <w:sz w:val="24"/>
        </w:rPr>
        <w:t>3. Жилищный фонд нового строительства составит 960,7 тыс.кв.м.</w:t>
      </w:r>
    </w:p>
    <w:p>
      <w:pPr>
        <w:pStyle w:val="Normal"/>
        <w:spacing w:lineRule="auto" w:line="360"/>
        <w:rPr>
          <w:rFonts w:cs="Arial"/>
          <w:sz w:val="24"/>
        </w:rPr>
      </w:pPr>
      <w:r>
        <w:rPr>
          <w:rFonts w:cs="Arial"/>
          <w:sz w:val="24"/>
        </w:rPr>
        <w:t>4. Средний показатель обеспеченности жилищным фондом – 35,0 кв.м/чел.</w:t>
      </w:r>
    </w:p>
    <w:p>
      <w:pPr>
        <w:pStyle w:val="Normal"/>
        <w:spacing w:lineRule="auto" w:line="360"/>
        <w:rPr>
          <w:rFonts w:cs="Arial"/>
          <w:sz w:val="24"/>
        </w:rPr>
      </w:pPr>
      <w:r>
        <w:rPr>
          <w:rFonts w:cs="Arial"/>
          <w:sz w:val="24"/>
        </w:rPr>
        <w:t>5. Жилищный фонд на расчетный срок составит 1380,3 тыс.кв.м.</w:t>
      </w:r>
    </w:p>
    <w:p>
      <w:pPr>
        <w:pStyle w:val="Normal"/>
        <w:spacing w:lineRule="auto" w:line="360"/>
        <w:rPr>
          <w:rFonts w:cs="Arial"/>
          <w:sz w:val="24"/>
        </w:rPr>
      </w:pPr>
      <w:r>
        <w:rPr>
          <w:rFonts w:cs="Arial"/>
          <w:sz w:val="24"/>
        </w:rPr>
        <w:t>Объемы жилищного фонда сельских населенных пунктов на 1 очередь.</w:t>
      </w:r>
    </w:p>
    <w:p>
      <w:pPr>
        <w:pStyle w:val="Normal"/>
        <w:spacing w:lineRule="auto" w:line="360"/>
        <w:rPr>
          <w:rFonts w:cs="Arial"/>
          <w:sz w:val="24"/>
        </w:rPr>
      </w:pPr>
      <w:r>
        <w:rPr>
          <w:rFonts w:cs="Arial"/>
          <w:sz w:val="24"/>
        </w:rPr>
        <w:t>1. Существующий сохраняемый жилищный фонд составит 373,0 тыс.кв.м общей площади.</w:t>
      </w:r>
    </w:p>
    <w:p>
      <w:pPr>
        <w:pStyle w:val="Normal"/>
        <w:spacing w:lineRule="auto" w:line="360"/>
        <w:rPr>
          <w:rFonts w:cs="Arial"/>
          <w:sz w:val="24"/>
        </w:rPr>
      </w:pPr>
      <w:r>
        <w:rPr>
          <w:rFonts w:cs="Arial"/>
          <w:sz w:val="24"/>
        </w:rPr>
        <w:t>2. Жилищный фонд нового строительства составит 480,35 тыс.кв.м общей площади.</w:t>
      </w:r>
    </w:p>
    <w:p>
      <w:pPr>
        <w:pStyle w:val="Normal"/>
        <w:spacing w:lineRule="auto" w:line="360"/>
        <w:rPr>
          <w:sz w:val="28"/>
          <w:szCs w:val="24"/>
        </w:rPr>
      </w:pPr>
      <w:r>
        <w:rPr>
          <w:rFonts w:cs="Arial"/>
          <w:sz w:val="24"/>
        </w:rPr>
        <w:t xml:space="preserve">3. Средний показатель обеспеченности жилищным фондом 21,3-35,0 кв.м/чел. </w:t>
      </w:r>
      <w:r>
        <w:rPr>
          <w:sz w:val="28"/>
          <w:szCs w:val="24"/>
        </w:rPr>
        <w:t xml:space="preserve"> </w:t>
      </w:r>
    </w:p>
    <w:p>
      <w:pPr>
        <w:pStyle w:val="Normal"/>
        <w:spacing w:lineRule="auto" w:line="360"/>
        <w:rPr>
          <w:rFonts w:cs="Arial"/>
          <w:sz w:val="24"/>
          <w:szCs w:val="24"/>
          <w:lang w:eastAsia="ru-RU"/>
        </w:rPr>
      </w:pPr>
      <w:r>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Pr>
          <w:rFonts w:cs="Arial"/>
          <w:sz w:val="24"/>
          <w:szCs w:val="24"/>
          <w:vertAlign w:val="superscript"/>
          <w:lang w:eastAsia="ru-RU"/>
        </w:rPr>
        <w:t>2</w:t>
      </w:r>
      <w:r>
        <w:rPr>
          <w:rFonts w:cs="Arial"/>
          <w:sz w:val="24"/>
          <w:szCs w:val="24"/>
          <w:lang w:eastAsia="ru-RU"/>
        </w:rPr>
        <w:t>/чел.</w:t>
      </w:r>
    </w:p>
    <w:p>
      <w:pPr>
        <w:pStyle w:val="Normal"/>
        <w:spacing w:lineRule="auto" w:line="360"/>
        <w:rPr>
          <w:rFonts w:cs="Arial"/>
          <w:sz w:val="24"/>
          <w:szCs w:val="24"/>
          <w:lang w:eastAsia="ru-RU"/>
        </w:rPr>
      </w:pPr>
      <w:r>
        <w:rPr>
          <w:rFonts w:cs="Arial"/>
          <w:sz w:val="24"/>
          <w:szCs w:val="24"/>
          <w:lang w:eastAsia="ru-RU"/>
        </w:rPr>
        <w:t>График изменения численности населения приведен на рисунке 1.3. На рисунке справочно приведена фактическая динамика изменения численности населения.</w:t>
      </w:r>
    </w:p>
    <w:p>
      <w:pPr>
        <w:pStyle w:val="Normal"/>
        <w:spacing w:lineRule="auto" w:line="360"/>
        <w:ind w:hanging="0"/>
        <w:rPr>
          <w:rFonts w:eastAsia="Calibri"/>
          <w:sz w:val="28"/>
          <w:szCs w:val="28"/>
        </w:rPr>
      </w:pPr>
      <w:r>
        <w:rPr/>
        <w:drawing>
          <wp:inline distT="0" distB="0" distL="0" distR="0">
            <wp:extent cx="5733415" cy="3736975"/>
            <wp:effectExtent l="0" t="0" r="0" b="0"/>
            <wp:docPr id="5"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5" descr=""/>
                    <pic:cNvPicPr>
                      <a:picLocks noChangeAspect="1" noChangeArrowheads="1"/>
                    </pic:cNvPicPr>
                  </pic:nvPicPr>
                  <pic:blipFill>
                    <a:blip r:embed="rId11"/>
                    <a:srcRect l="10640" t="20388" r="46094" b="29480"/>
                    <a:stretch>
                      <a:fillRect/>
                    </a:stretch>
                  </pic:blipFill>
                  <pic:spPr bwMode="auto">
                    <a:xfrm>
                      <a:off x="0" y="0"/>
                      <a:ext cx="5733415" cy="3736975"/>
                    </a:xfrm>
                    <a:prstGeom prst="rect">
                      <a:avLst/>
                    </a:prstGeom>
                    <a:noFill/>
                  </pic:spPr>
                </pic:pic>
              </a:graphicData>
            </a:graphic>
          </wp:inline>
        </w:drawing>
      </w:r>
    </w:p>
    <w:p>
      <w:pPr>
        <w:pStyle w:val="Normal"/>
        <w:spacing w:lineRule="auto" w:line="360" w:before="120" w:after="200"/>
        <w:ind w:hanging="0"/>
        <w:jc w:val="center"/>
        <w:rPr>
          <w:b/>
          <w:bCs/>
          <w:sz w:val="18"/>
          <w:szCs w:val="18"/>
        </w:rPr>
      </w:pPr>
      <w:bookmarkStart w:id="72" w:name="_Toc71274675"/>
      <w:bookmarkStart w:id="73" w:name="_Toc368304787"/>
      <w:bookmarkStart w:id="74" w:name="_Toc361249230"/>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3</w:t>
      </w:r>
      <w:r>
        <w:rPr>
          <w:sz w:val="18"/>
          <w:b/>
          <w:szCs w:val="18"/>
          <w:bCs/>
        </w:rPr>
        <w:fldChar w:fldCharType="end"/>
      </w:r>
      <w:r>
        <w:rPr>
          <w:b/>
          <w:bCs/>
          <w:sz w:val="18"/>
          <w:szCs w:val="18"/>
        </w:rPr>
        <w:t xml:space="preserve">. Прогноз численности населения </w:t>
      </w:r>
      <w:bookmarkEnd w:id="74"/>
      <w:r>
        <w:rPr>
          <w:b/>
          <w:bCs/>
          <w:sz w:val="18"/>
          <w:szCs w:val="18"/>
        </w:rPr>
        <w:t>муниципального образования</w:t>
      </w:r>
      <w:bookmarkEnd w:id="72"/>
      <w:bookmarkEnd w:id="73"/>
      <w:r>
        <w:rPr>
          <w:b/>
          <w:bCs/>
          <w:sz w:val="18"/>
          <w:szCs w:val="18"/>
        </w:rPr>
        <w:t xml:space="preserve"> </w:t>
      </w:r>
    </w:p>
    <w:p>
      <w:pPr>
        <w:pStyle w:val="Normal"/>
        <w:spacing w:lineRule="auto" w:line="360"/>
        <w:rPr>
          <w:rFonts w:cs="Arial"/>
          <w:sz w:val="24"/>
          <w:szCs w:val="24"/>
          <w:lang w:eastAsia="ru-RU"/>
        </w:rPr>
      </w:pPr>
      <w:r>
        <w:rPr>
          <w:rFonts w:cs="Arial"/>
          <w:sz w:val="24"/>
          <w:szCs w:val="24"/>
          <w:lang w:eastAsia="ru-RU"/>
        </w:rPr>
        <w:t>В соответствии с ранее описанным прогнозом были получены данные об увеличении объема жилищного фонда (таблица 1.1).</w:t>
      </w:r>
    </w:p>
    <w:p>
      <w:pPr>
        <w:pStyle w:val="Normal"/>
        <w:spacing w:lineRule="auto" w:line="360"/>
        <w:rPr>
          <w:rFonts w:cs="Arial"/>
          <w:sz w:val="24"/>
          <w:szCs w:val="24"/>
          <w:lang w:eastAsia="ru-RU"/>
        </w:rPr>
      </w:pPr>
      <w:r>
        <w:rPr>
          <w:rFonts w:cs="Arial"/>
          <w:sz w:val="24"/>
          <w:szCs w:val="24"/>
          <w:lang w:eastAsia="ru-RU"/>
        </w:rPr>
        <w:t>Темп сноса жилищного фонда на территории города также принят в соответствии с Генеральным планом.</w:t>
      </w:r>
    </w:p>
    <w:p>
      <w:pPr>
        <w:pStyle w:val="Normal"/>
        <w:spacing w:lineRule="auto" w:line="360"/>
        <w:rPr>
          <w:rFonts w:cs="Arial"/>
          <w:sz w:val="24"/>
          <w:szCs w:val="24"/>
          <w:lang w:eastAsia="ru-RU"/>
        </w:rPr>
      </w:pPr>
      <w:r>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p>
    <w:p>
      <w:pPr>
        <w:sectPr>
          <w:headerReference w:type="default" r:id="rId12"/>
          <w:headerReference w:type="first" r:id="rId13"/>
          <w:footerReference w:type="default" r:id="rId14"/>
          <w:footerReference w:type="first" r:id="rId15"/>
          <w:type w:val="nextPage"/>
          <w:pgSz w:w="11906" w:h="16838"/>
          <w:pgMar w:left="1701" w:right="1134" w:gutter="0" w:header="708" w:top="1134" w:footer="708" w:bottom="1134"/>
          <w:pgNumType w:fmt="decimal"/>
          <w:formProt w:val="false"/>
          <w:textDirection w:val="lrTb"/>
          <w:docGrid w:type="default" w:linePitch="360" w:charSpace="0"/>
        </w:sectPr>
        <w:pStyle w:val="Normal"/>
        <w:widowControl/>
        <w:spacing w:lineRule="auto" w:line="312" w:before="0" w:after="0"/>
        <w:ind w:hanging="0"/>
        <w:jc w:val="left"/>
        <w:textAlignment w:val="auto"/>
        <w:rPr>
          <w:b/>
          <w:bCs/>
          <w:sz w:val="18"/>
          <w:szCs w:val="18"/>
        </w:rPr>
      </w:pPr>
      <w:r>
        <w:rPr>
          <w:b/>
          <w:bCs/>
          <w:sz w:val="18"/>
          <w:szCs w:val="18"/>
        </w:rPr>
      </w:r>
      <w:r>
        <w:br w:type="page"/>
      </w:r>
    </w:p>
    <w:p>
      <w:pPr>
        <w:pStyle w:val="Normal"/>
        <w:spacing w:before="120" w:after="200"/>
        <w:ind w:hanging="0"/>
        <w:rPr>
          <w:b/>
          <w:bCs/>
          <w:sz w:val="18"/>
          <w:szCs w:val="18"/>
        </w:rPr>
      </w:pPr>
      <w:bookmarkStart w:id="75" w:name="_Toc132971360"/>
      <w:bookmarkStart w:id="76" w:name="_Toc368304745"/>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1</w:t>
      </w:r>
      <w:r>
        <w:rPr>
          <w:sz w:val="18"/>
          <w:b/>
          <w:szCs w:val="18"/>
          <w:bCs/>
        </w:rPr>
        <w:fldChar w:fldCharType="end"/>
      </w:r>
      <w:r>
        <w:rPr>
          <w:b/>
          <w:bCs/>
          <w:sz w:val="18"/>
          <w:szCs w:val="18"/>
        </w:rPr>
        <w:t>. Изменение величины жилищного фонда в период до 2030 г.</w:t>
      </w:r>
      <w:bookmarkEnd w:id="75"/>
      <w:bookmarkEnd w:id="76"/>
    </w:p>
    <w:tbl>
      <w:tblPr>
        <w:tblW w:w="14528" w:type="dxa"/>
        <w:jc w:val="left"/>
        <w:tblInd w:w="98" w:type="dxa"/>
        <w:tblLayout w:type="fixed"/>
        <w:tblCellMar>
          <w:top w:w="0" w:type="dxa"/>
          <w:left w:w="28" w:type="dxa"/>
          <w:bottom w:w="0" w:type="dxa"/>
          <w:right w:w="28" w:type="dxa"/>
        </w:tblCellMar>
        <w:tblLook w:firstRow="1" w:noVBand="1" w:lastRow="0" w:firstColumn="1" w:lastColumn="0" w:noHBand="0" w:val="04a0"/>
      </w:tblPr>
      <w:tblGrid>
        <w:gridCol w:w="1490"/>
        <w:gridCol w:w="724"/>
        <w:gridCol w:w="723"/>
        <w:gridCol w:w="725"/>
        <w:gridCol w:w="725"/>
        <w:gridCol w:w="723"/>
        <w:gridCol w:w="725"/>
        <w:gridCol w:w="724"/>
        <w:gridCol w:w="725"/>
        <w:gridCol w:w="725"/>
        <w:gridCol w:w="723"/>
        <w:gridCol w:w="724"/>
        <w:gridCol w:w="726"/>
        <w:gridCol w:w="724"/>
        <w:gridCol w:w="723"/>
        <w:gridCol w:w="725"/>
        <w:gridCol w:w="725"/>
        <w:gridCol w:w="724"/>
        <w:gridCol w:w="724"/>
      </w:tblGrid>
      <w:tr>
        <w:trPr>
          <w:trHeight w:val="315" w:hRule="atLeast"/>
        </w:trPr>
        <w:tc>
          <w:tcPr>
            <w:tcW w:w="1490"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2013</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2014</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2015</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2016</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2017</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2018</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2019</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2020</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2021</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2022</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2023</w:t>
            </w:r>
          </w:p>
        </w:tc>
        <w:tc>
          <w:tcPr>
            <w:tcW w:w="726"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2024</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2025</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2026</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2027</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2028</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2029</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t>2030</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Площадь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7719,3</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7900,9</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8082,5</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8264,2</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8445,8</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8627,4</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8809</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8990,7</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9510,4</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10030,1</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10549,8</w:t>
            </w:r>
          </w:p>
        </w:tc>
        <w:tc>
          <w:tcPr>
            <w:tcW w:w="726"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11069,5</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11589,3</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12109</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12628,7</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13148,4</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13668,1</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14187,9</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Ввод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6"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6739,6*</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Снос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6"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271,0*</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Обеспеченности населения ЖФ, м</w:t>
            </w:r>
            <w:r>
              <w:rPr>
                <w:rFonts w:eastAsia="Times New Roman" w:cs="Arial"/>
                <w:color w:val="000000"/>
                <w:spacing w:val="0"/>
                <w:sz w:val="20"/>
                <w:szCs w:val="20"/>
                <w:vertAlign w:val="superscript"/>
                <w:lang w:eastAsia="ru-RU"/>
              </w:rPr>
              <w:t>2</w:t>
            </w:r>
            <w:r>
              <w:rPr>
                <w:rFonts w:eastAsia="Times New Roman" w:cs="Arial"/>
                <w:color w:val="000000"/>
                <w:spacing w:val="0"/>
                <w:sz w:val="20"/>
                <w:szCs w:val="20"/>
                <w:lang w:eastAsia="ru-RU"/>
              </w:rPr>
              <w:t>/чел.</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22,2</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22,7</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23,1</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24,5</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24,9</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25,4</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26,8</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28,2</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29,6</w:t>
            </w:r>
          </w:p>
        </w:tc>
        <w:tc>
          <w:tcPr>
            <w:tcW w:w="726"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31</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32,3</w:t>
            </w:r>
          </w:p>
        </w:tc>
        <w:tc>
          <w:tcPr>
            <w:tcW w:w="723"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33,7</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35,1</w:t>
            </w:r>
          </w:p>
        </w:tc>
        <w:tc>
          <w:tcPr>
            <w:tcW w:w="725"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36,4</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37,7</w:t>
            </w:r>
          </w:p>
        </w:tc>
        <w:tc>
          <w:tcPr>
            <w:tcW w:w="724" w:type="dxa"/>
            <w:tcBorders>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39,1</w:t>
            </w:r>
          </w:p>
        </w:tc>
      </w:tr>
    </w:tbl>
    <w:p>
      <w:pPr>
        <w:sectPr>
          <w:headerReference w:type="default" r:id="rId16"/>
          <w:headerReference w:type="first" r:id="rId17"/>
          <w:footerReference w:type="default" r:id="rId18"/>
          <w:footerReference w:type="first" r:id="rId19"/>
          <w:type w:val="nextPage"/>
          <w:pgSz w:orient="landscape" w:w="16838" w:h="11906"/>
          <w:pgMar w:left="1134" w:right="1134" w:gutter="0" w:header="709" w:top="1134" w:footer="709" w:bottom="1701"/>
          <w:pgNumType w:fmt="decimal"/>
          <w:formProt w:val="false"/>
          <w:textDirection w:val="lrTb"/>
          <w:docGrid w:type="default" w:linePitch="360" w:charSpace="0"/>
        </w:sectPr>
        <w:pStyle w:val="Normal"/>
        <w:widowControl/>
        <w:spacing w:lineRule="auto" w:line="360" w:before="0" w:after="0"/>
        <w:ind w:hanging="0"/>
        <w:textAlignment w:val="auto"/>
        <w:rPr>
          <w:rFonts w:ascii="Times New Roman" w:hAnsi="Times New Roman" w:eastAsia="Calibri" w:eastAsiaTheme="minorHAnsi"/>
          <w:spacing w:val="0"/>
          <w:sz w:val="24"/>
          <w:szCs w:val="24"/>
          <w:lang w:eastAsia="ru-RU"/>
        </w:rPr>
      </w:pPr>
      <w:r>
        <w:rPr>
          <w:rFonts w:eastAsia="Calibri" w:ascii="Times New Roman" w:hAnsi="Times New Roman" w:eastAsiaTheme="minorHAnsi"/>
          <w:spacing w:val="0"/>
          <w:sz w:val="24"/>
          <w:szCs w:val="24"/>
          <w:lang w:eastAsia="ru-RU"/>
        </w:rPr>
        <w:t>* - суммарный объем ввода/сноса за весь рассматриваемый период</w:t>
      </w:r>
    </w:p>
    <w:p>
      <w:pPr>
        <w:pStyle w:val="Normal"/>
        <w:spacing w:lineRule="auto" w:line="360"/>
        <w:rPr>
          <w:rFonts w:cs="Arial"/>
          <w:sz w:val="24"/>
          <w:szCs w:val="24"/>
          <w:lang w:eastAsia="ru-RU"/>
        </w:rPr>
      </w:pPr>
      <w:r>
        <w:rPr>
          <w:rFonts w:cs="Arial"/>
          <w:sz w:val="24"/>
          <w:szCs w:val="24"/>
          <w:lang w:eastAsia="ru-RU"/>
        </w:rPr>
        <w:t>Структура жилищного фонда, прогнозируемого к вводу в период 2013-2030 гг., представлена на рисунке 1.4.</w:t>
      </w:r>
    </w:p>
    <w:p>
      <w:pPr>
        <w:pStyle w:val="Normal"/>
        <w:widowControl/>
        <w:spacing w:lineRule="auto" w:line="360" w:before="0" w:after="0"/>
        <w:ind w:firstLine="708"/>
        <w:textAlignment w:val="auto"/>
        <w:rPr>
          <w:rFonts w:ascii="Times New Roman" w:hAnsi="Times New Roman" w:eastAsia="Calibri" w:eastAsiaTheme="minorHAnsi"/>
          <w:spacing w:val="0"/>
          <w:sz w:val="28"/>
          <w:szCs w:val="24"/>
          <w:lang w:eastAsia="ru-RU"/>
        </w:rPr>
      </w:pPr>
      <w:r>
        <w:rPr/>
        <w:drawing>
          <wp:inline distT="0" distB="0" distL="0" distR="0">
            <wp:extent cx="4572000" cy="2743200"/>
            <wp:effectExtent l="0" t="0" r="0" b="0"/>
            <wp:docPr id="6" name="Диаграмма 73760"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pStyle w:val="Normal"/>
        <w:spacing w:before="0" w:after="0"/>
        <w:ind w:hanging="0"/>
        <w:jc w:val="center"/>
        <w:rPr>
          <w:b/>
          <w:bCs/>
          <w:sz w:val="18"/>
          <w:szCs w:val="18"/>
        </w:rPr>
      </w:pPr>
      <w:bookmarkStart w:id="77" w:name="_Toc311968753"/>
      <w:bookmarkStart w:id="78" w:name="_Toc291577588"/>
      <w:bookmarkStart w:id="79" w:name="_Toc71274676"/>
      <w:bookmarkStart w:id="80" w:name="_Toc368304788"/>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4</w:t>
      </w:r>
      <w:r>
        <w:rPr>
          <w:sz w:val="18"/>
          <w:b/>
          <w:szCs w:val="18"/>
          <w:bCs/>
        </w:rPr>
        <w:fldChar w:fldCharType="end"/>
      </w:r>
      <w:r>
        <w:rPr>
          <w:b/>
          <w:bCs/>
          <w:sz w:val="18"/>
          <w:szCs w:val="18"/>
        </w:rPr>
        <w:t>. Структура жилищного фонда, прогнозируемого к вводу</w:t>
      </w:r>
      <w:bookmarkEnd w:id="79"/>
      <w:bookmarkEnd w:id="80"/>
    </w:p>
    <w:p>
      <w:pPr>
        <w:pStyle w:val="Normal"/>
        <w:spacing w:before="0" w:after="0"/>
        <w:ind w:hanging="0"/>
        <w:jc w:val="center"/>
        <w:rPr>
          <w:b/>
          <w:bCs/>
          <w:sz w:val="18"/>
          <w:szCs w:val="18"/>
        </w:rPr>
      </w:pPr>
      <w:r>
        <w:rPr>
          <w:b/>
          <w:bCs/>
          <w:sz w:val="18"/>
          <w:szCs w:val="18"/>
        </w:rPr>
        <w:t xml:space="preserve"> </w:t>
      </w:r>
      <w:r>
        <w:rPr>
          <w:b/>
          <w:bCs/>
          <w:sz w:val="18"/>
          <w:szCs w:val="18"/>
        </w:rPr>
        <w:t>в эксплуатацию в период 2013-2030 гг.</w:t>
      </w:r>
      <w:bookmarkEnd w:id="77"/>
      <w:bookmarkEnd w:id="78"/>
      <w:r>
        <w:rPr>
          <w:b/>
          <w:bCs/>
          <w:sz w:val="18"/>
          <w:szCs w:val="18"/>
        </w:rPr>
        <w:t xml:space="preserve"> (тыс. м</w:t>
      </w:r>
      <w:r>
        <w:rPr>
          <w:b/>
          <w:bCs/>
          <w:sz w:val="18"/>
          <w:szCs w:val="18"/>
          <w:vertAlign w:val="superscript"/>
        </w:rPr>
        <w:t>2</w:t>
      </w:r>
      <w:r>
        <w:rPr>
          <w:b/>
          <w:bCs/>
          <w:sz w:val="18"/>
          <w:szCs w:val="18"/>
        </w:rPr>
        <w:t>)</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Наибольший объем вводимого жилищного фонда (83%) приходится на многоквартирный жилищный фонд.</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Ввод общественно-делового фонда на территории города прогнозируется в объеме 1353,2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в том числе 125,4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2013-2017 гг., 411,1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2018-2022 гг., 584,9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2023-2027 гг., 231,8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2028-2029 гг. Ввод общественно-деловой застройки на территории поселков оценивается величиной 130,1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(с учетом применения для формирования прогноза коэффициента Куртоша равного 0,15), в том числе 41,4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2013-2017 гг., 38,2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2018-2022 гг., 36,1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2023-2027 гг., 14,4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2028-2029 гг.</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Положений генерального плана о сносе к 2030 г. всего ветхого и аварийного жилищного фонда;</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Положений генерального плана о сносе зданий с наивысшим процентом износа;</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Перечня ветхих и аварийных зданий, предоставленных администрацией муниципального образования;</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Базы данных о жилищном фонде, предоставленной БТИ (с указанием процента износа).</w:t>
      </w:r>
    </w:p>
    <w:p>
      <w:pPr>
        <w:pStyle w:val="Normal"/>
        <w:widowControl/>
        <w:spacing w:lineRule="auto" w:line="360" w:before="0" w:after="0"/>
        <w:ind w:hanging="0" w:left="1428"/>
        <w:contextualSpacing/>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Прогноз сноса формировался следующим образом: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ежегодный темп сноса, как отмечено выше, принят в соответствии с Генеральным планом;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таким образом, в период 2013-2019 гг. предусмотрен снос 35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жилых строений. А в период 2020-2029 гг. – 236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(в соответствии с Генеральным планом). </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pPr>
        <w:pStyle w:val="Normal"/>
        <w:spacing w:lineRule="auto" w:line="360"/>
        <w:rPr>
          <w:rFonts w:cs="Arial"/>
          <w:sz w:val="24"/>
          <w:szCs w:val="24"/>
          <w:lang w:eastAsia="ru-RU"/>
        </w:rPr>
      </w:pPr>
      <w:r>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pPr>
        <w:pStyle w:val="Normal"/>
        <w:spacing w:lineRule="auto" w:line="360"/>
        <w:rPr>
          <w:rFonts w:cs="Arial"/>
          <w:sz w:val="24"/>
          <w:szCs w:val="24"/>
          <w:lang w:eastAsia="ru-RU"/>
        </w:rPr>
      </w:pPr>
      <w:r>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pPr>
        <w:pStyle w:val="Normal"/>
        <w:widowControl/>
        <w:spacing w:lineRule="auto" w:line="360" w:before="0" w:after="0"/>
        <w:ind w:hanging="0"/>
        <w:jc w:val="center"/>
        <w:textAlignment w:val="auto"/>
        <w:rPr>
          <w:rFonts w:ascii="Times New Roman" w:hAnsi="Times New Roman" w:eastAsia="Calibri" w:eastAsiaTheme="minorHAnsi"/>
          <w:b/>
          <w:bCs/>
          <w:spacing w:val="0"/>
          <w:sz w:val="24"/>
          <w:szCs w:val="24"/>
          <w:lang w:eastAsia="ru-RU"/>
        </w:rPr>
      </w:pPr>
      <w:r>
        <w:rPr/>
        <w:drawing>
          <wp:inline distT="0" distB="0" distL="0" distR="0">
            <wp:extent cx="5760085" cy="3284220"/>
            <wp:effectExtent l="0" t="0" r="0" b="0"/>
            <wp:docPr id="7"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2" descr=""/>
                    <pic:cNvPicPr>
                      <a:picLocks noChangeAspect="1" noChangeArrowheads="1"/>
                    </pic:cNvPicPr>
                  </pic:nvPicPr>
                  <pic:blipFill>
                    <a:blip r:embed="rId21"/>
                    <a:stretch>
                      <a:fillRect/>
                    </a:stretch>
                  </pic:blipFill>
                  <pic:spPr bwMode="auto">
                    <a:xfrm>
                      <a:off x="0" y="0"/>
                      <a:ext cx="5760085" cy="3284220"/>
                    </a:xfrm>
                    <a:prstGeom prst="rect">
                      <a:avLst/>
                    </a:prstGeom>
                    <a:noFill/>
                  </pic:spPr>
                </pic:pic>
              </a:graphicData>
            </a:graphic>
          </wp:inline>
        </w:drawing>
      </w:r>
    </w:p>
    <w:p>
      <w:pPr>
        <w:pStyle w:val="Normal"/>
        <w:spacing w:before="120" w:after="200"/>
        <w:ind w:hanging="0"/>
        <w:jc w:val="center"/>
        <w:rPr>
          <w:b/>
          <w:bCs/>
          <w:sz w:val="18"/>
          <w:szCs w:val="18"/>
        </w:rPr>
      </w:pPr>
      <w:bookmarkStart w:id="81" w:name="_Toc71274677"/>
      <w:bookmarkStart w:id="82" w:name="_Toc368304789"/>
      <w:bookmarkStart w:id="83" w:name="_Toc311968752"/>
      <w:bookmarkStart w:id="84" w:name="_Toc291577587"/>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5</w:t>
      </w:r>
      <w:r>
        <w:rPr>
          <w:sz w:val="18"/>
          <w:b/>
          <w:szCs w:val="18"/>
          <w:bCs/>
        </w:rPr>
        <w:fldChar w:fldCharType="end"/>
      </w:r>
      <w:r>
        <w:rPr>
          <w:b/>
          <w:bCs/>
          <w:sz w:val="18"/>
          <w:szCs w:val="18"/>
        </w:rPr>
        <w:t>. Прогнозируемая динамика изменения численности населения и обеспеченности населения жилищным фондом на период до 2030 г.</w:t>
      </w:r>
      <w:bookmarkEnd w:id="81"/>
      <w:bookmarkEnd w:id="82"/>
      <w:bookmarkEnd w:id="83"/>
      <w:bookmarkEnd w:id="84"/>
    </w:p>
    <w:p>
      <w:pPr>
        <w:pStyle w:val="Normal"/>
        <w:spacing w:lineRule="auto" w:line="360"/>
        <w:rPr>
          <w:rFonts w:cs="Arial"/>
          <w:sz w:val="24"/>
          <w:szCs w:val="24"/>
          <w:lang w:eastAsia="ru-RU"/>
        </w:rPr>
      </w:pPr>
      <w:r>
        <w:rPr>
          <w:rFonts w:cs="Arial"/>
          <w:sz w:val="24"/>
          <w:szCs w:val="24"/>
          <w:lang w:eastAsia="ru-RU"/>
        </w:rPr>
        <w:t>Из рисунка видно, что планируемая величина жилищного фонда увеличится к 2030 г. до уровня 14,2 млн м</w:t>
      </w:r>
      <w:r>
        <w:rPr>
          <w:rFonts w:cs="Arial"/>
          <w:sz w:val="24"/>
          <w:szCs w:val="24"/>
          <w:vertAlign w:val="superscript"/>
          <w:lang w:eastAsia="ru-RU"/>
        </w:rPr>
        <w:t>2</w:t>
      </w:r>
      <w:r>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Pr>
          <w:rFonts w:cs="Arial"/>
          <w:sz w:val="24"/>
          <w:szCs w:val="24"/>
          <w:vertAlign w:val="superscript"/>
          <w:lang w:eastAsia="ru-RU"/>
        </w:rPr>
        <w:t>2</w:t>
      </w:r>
      <w:r>
        <w:rPr>
          <w:rFonts w:cs="Arial"/>
          <w:sz w:val="24"/>
          <w:szCs w:val="24"/>
          <w:lang w:eastAsia="ru-RU"/>
        </w:rPr>
        <w:t>/чел. до 39,1 м</w:t>
      </w:r>
      <w:r>
        <w:rPr>
          <w:rFonts w:cs="Arial"/>
          <w:sz w:val="24"/>
          <w:szCs w:val="24"/>
          <w:vertAlign w:val="superscript"/>
          <w:lang w:eastAsia="ru-RU"/>
        </w:rPr>
        <w:t>2</w:t>
      </w:r>
      <w:r>
        <w:rPr>
          <w:rFonts w:cs="Arial"/>
          <w:sz w:val="24"/>
          <w:szCs w:val="24"/>
          <w:lang w:eastAsia="ru-RU"/>
        </w:rPr>
        <w:t>/чел. к 2030 году.</w:t>
      </w:r>
    </w:p>
    <w:p>
      <w:pPr>
        <w:pStyle w:val="Normal"/>
        <w:spacing w:lineRule="auto" w:line="360"/>
        <w:rPr>
          <w:rFonts w:cs="Arial"/>
          <w:sz w:val="24"/>
          <w:szCs w:val="24"/>
          <w:lang w:eastAsia="ru-RU"/>
        </w:rPr>
      </w:pPr>
      <w:r>
        <w:rPr/>
      </w:r>
    </w:p>
    <w:p>
      <w:pPr>
        <w:pStyle w:val="Normal"/>
        <w:spacing w:lineRule="auto" w:line="360"/>
        <w:rPr>
          <w:rFonts w:cs="Arial"/>
          <w:sz w:val="24"/>
          <w:szCs w:val="24"/>
          <w:lang w:eastAsia="ru-RU"/>
        </w:rPr>
      </w:pPr>
      <w:r>
        <w:rPr/>
      </w:r>
    </w:p>
    <w:p>
      <w:pPr>
        <w:pStyle w:val="Normal"/>
        <w:spacing w:lineRule="auto" w:line="360"/>
        <w:rPr>
          <w:sz w:val="24"/>
          <w:szCs w:val="24"/>
        </w:rPr>
      </w:pPr>
      <w:r>
        <w:rPr>
          <w:sz w:val="24"/>
          <w:szCs w:val="24"/>
        </w:rPr>
      </w:r>
    </w:p>
    <w:p>
      <w:pPr>
        <w:pStyle w:val="Normal"/>
        <w:spacing w:lineRule="auto" w:line="360"/>
        <w:rPr>
          <w:sz w:val="24"/>
          <w:szCs w:val="24"/>
        </w:rPr>
      </w:pPr>
      <w:r>
        <w:rPr>
          <w:sz w:val="24"/>
          <w:szCs w:val="24"/>
        </w:rPr>
      </w:r>
    </w:p>
    <w:p>
      <w:pPr>
        <w:pStyle w:val="ListParagraph"/>
        <w:numPr>
          <w:ilvl w:val="1"/>
          <w:numId w:val="28"/>
        </w:numPr>
        <w:suppressAutoHyphens w:val="true"/>
        <w:spacing w:before="240" w:after="120"/>
        <w:contextualSpacing/>
        <w:outlineLvl w:val="1"/>
        <w:rPr>
          <w:rFonts w:ascii="Arial Black" w:hAnsi="Arial Black"/>
          <w:spacing w:val="-10"/>
          <w:kern w:val="2"/>
          <w:sz w:val="24"/>
          <w:szCs w:val="24"/>
        </w:rPr>
      </w:pPr>
      <w:bookmarkStart w:id="85" w:name="_Toc132981668"/>
      <w:bookmarkStart w:id="86" w:name="_Toc365892493"/>
      <w:bookmarkStart w:id="87" w:name="_Toc331430032"/>
      <w:r>
        <w:rPr>
          <w:rFonts w:ascii="Arial Black" w:hAnsi="Arial Black"/>
          <w:spacing w:val="-10"/>
          <w:kern w:val="2"/>
          <w:sz w:val="24"/>
          <w:szCs w:val="24"/>
        </w:rPr>
        <w:t>Прогноз прироста тепловых нагрузок</w:t>
      </w:r>
      <w:bookmarkEnd w:id="85"/>
      <w:bookmarkEnd w:id="86"/>
      <w:bookmarkEnd w:id="87"/>
    </w:p>
    <w:p>
      <w:pPr>
        <w:pStyle w:val="Normal"/>
        <w:rPr>
          <w:sz w:val="28"/>
          <w:szCs w:val="28"/>
        </w:rPr>
      </w:pPr>
      <w:r>
        <w:rPr>
          <w:sz w:val="28"/>
          <w:szCs w:val="28"/>
        </w:rPr>
      </w:r>
    </w:p>
    <w:p>
      <w:pPr>
        <w:pStyle w:val="Normal"/>
        <w:spacing w:lineRule="auto" w:line="360"/>
        <w:rPr>
          <w:rFonts w:cs="Arial"/>
          <w:sz w:val="24"/>
          <w:szCs w:val="24"/>
          <w:lang w:eastAsia="ru-RU"/>
        </w:rPr>
      </w:pPr>
      <w:r>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pPr>
        <w:pStyle w:val="Normal"/>
        <w:spacing w:lineRule="auto" w:line="360"/>
        <w:rPr>
          <w:rFonts w:cs="Arial"/>
          <w:sz w:val="24"/>
          <w:szCs w:val="24"/>
          <w:lang w:eastAsia="ru-RU"/>
        </w:rPr>
      </w:pPr>
      <w:r>
        <w:rPr>
          <w:rFonts w:cs="Arial"/>
          <w:sz w:val="24"/>
          <w:szCs w:val="24"/>
          <w:lang w:eastAsia="ru-RU"/>
        </w:rPr>
        <w:t>Значения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pPr>
        <w:pStyle w:val="Normal"/>
        <w:spacing w:lineRule="auto" w:line="360"/>
        <w:rPr>
          <w:rFonts w:cs="Arial"/>
          <w:sz w:val="24"/>
          <w:szCs w:val="24"/>
          <w:lang w:eastAsia="ru-RU"/>
        </w:rPr>
      </w:pPr>
      <w:r>
        <w:rPr>
          <w:rFonts w:cs="Arial"/>
          <w:sz w:val="24"/>
          <w:szCs w:val="24"/>
          <w:lang w:eastAsia="ru-RU"/>
        </w:rPr>
        <w:t>За весь 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2021 году.</w:t>
      </w:r>
    </w:p>
    <w:p>
      <w:pPr>
        <w:pStyle w:val="Normal"/>
        <w:spacing w:lineRule="auto" w:line="360"/>
        <w:rPr>
          <w:rFonts w:cs="Arial"/>
          <w:sz w:val="24"/>
          <w:szCs w:val="24"/>
          <w:lang w:eastAsia="ru-RU"/>
        </w:rPr>
      </w:pPr>
      <w:r>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pPr>
        <w:pStyle w:val="Normal"/>
        <w:spacing w:lineRule="auto" w:line="360"/>
        <w:rPr>
          <w:rFonts w:cs="Arial"/>
          <w:sz w:val="24"/>
          <w:szCs w:val="24"/>
          <w:lang w:eastAsia="ru-RU"/>
        </w:rPr>
      </w:pPr>
      <w:r>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pPr>
        <w:pStyle w:val="Normal"/>
        <w:spacing w:lineRule="auto" w:line="360"/>
        <w:rPr>
          <w:rFonts w:cs="Arial"/>
          <w:sz w:val="24"/>
          <w:szCs w:val="24"/>
          <w:lang w:eastAsia="ru-RU"/>
        </w:rPr>
      </w:pPr>
      <w:r>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pPr>
        <w:pStyle w:val="Normal"/>
        <w:spacing w:lineRule="auto" w:line="360"/>
        <w:rPr>
          <w:rFonts w:cs="Arial"/>
          <w:sz w:val="24"/>
          <w:szCs w:val="24"/>
          <w:lang w:eastAsia="ru-RU"/>
        </w:rPr>
      </w:pPr>
      <w:r>
        <w:rPr>
          <w:rFonts w:cs="Arial"/>
          <w:sz w:val="24"/>
          <w:szCs w:val="24"/>
          <w:lang w:eastAsia="ru-RU"/>
        </w:rPr>
        <w:t>Прогноз изменения теплопотребления при вводе новой застройки приведен в таблице 1.3.</w:t>
      </w:r>
    </w:p>
    <w:p>
      <w:pPr>
        <w:pStyle w:val="Normal"/>
        <w:spacing w:lineRule="auto" w:line="360"/>
        <w:rPr>
          <w:rFonts w:cs="Arial"/>
          <w:sz w:val="24"/>
          <w:szCs w:val="24"/>
          <w:lang w:eastAsia="ru-RU"/>
        </w:rPr>
      </w:pPr>
      <w:r>
        <w:rPr>
          <w:rFonts w:cs="Arial"/>
          <w:sz w:val="24"/>
          <w:szCs w:val="24"/>
          <w:lang w:eastAsia="ru-RU"/>
        </w:rPr>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pPr>
        <w:sectPr>
          <w:headerReference w:type="default" r:id="rId22"/>
          <w:headerReference w:type="first" r:id="rId23"/>
          <w:footerReference w:type="default" r:id="rId24"/>
          <w:footerReference w:type="first" r:id="rId25"/>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rPr>
          <w:sz w:val="28"/>
          <w:szCs w:val="28"/>
        </w:rPr>
      </w:pPr>
      <w:r>
        <w:rPr>
          <w:sz w:val="28"/>
          <w:szCs w:val="28"/>
        </w:rPr>
      </w:r>
    </w:p>
    <w:p>
      <w:pPr>
        <w:pStyle w:val="Normal"/>
        <w:spacing w:before="120" w:after="200"/>
        <w:ind w:hanging="0"/>
        <w:rPr>
          <w:b/>
          <w:bCs/>
          <w:sz w:val="18"/>
          <w:szCs w:val="18"/>
        </w:rPr>
      </w:pPr>
      <w:bookmarkStart w:id="88" w:name="_Toc132971361"/>
      <w:bookmarkStart w:id="89" w:name="_Toc368304749"/>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2</w:t>
      </w:r>
      <w:r>
        <w:rPr>
          <w:sz w:val="18"/>
          <w:b/>
          <w:szCs w:val="18"/>
          <w:bCs/>
        </w:rPr>
        <w:fldChar w:fldCharType="end"/>
      </w:r>
      <w:r>
        <w:rPr>
          <w:b/>
          <w:bCs/>
          <w:sz w:val="18"/>
          <w:szCs w:val="18"/>
        </w:rPr>
        <w:t>. Прирост тепловой нагрузки при вводе новой застройки на период до 2030 г.  (Гкал/ч)</w:t>
      </w:r>
      <w:bookmarkEnd w:id="88"/>
      <w:bookmarkEnd w:id="89"/>
    </w:p>
    <w:tbl>
      <w:tblPr>
        <w:tblW w:w="14526" w:type="dxa"/>
        <w:jc w:val="left"/>
        <w:tblInd w:w="103" w:type="dxa"/>
        <w:tblLayout w:type="fixed"/>
        <w:tblCellMar>
          <w:top w:w="0" w:type="dxa"/>
          <w:left w:w="28" w:type="dxa"/>
          <w:bottom w:w="0" w:type="dxa"/>
          <w:right w:w="28" w:type="dxa"/>
        </w:tblCellMar>
        <w:tblLook w:firstRow="1" w:noVBand="1" w:lastRow="0" w:firstColumn="1" w:lastColumn="0" w:noHBand="0" w:val="04a0"/>
      </w:tblPr>
      <w:tblGrid>
        <w:gridCol w:w="1641"/>
        <w:gridCol w:w="678"/>
        <w:gridCol w:w="679"/>
        <w:gridCol w:w="678"/>
        <w:gridCol w:w="677"/>
        <w:gridCol w:w="678"/>
        <w:gridCol w:w="679"/>
        <w:gridCol w:w="678"/>
        <w:gridCol w:w="677"/>
        <w:gridCol w:w="678"/>
        <w:gridCol w:w="680"/>
        <w:gridCol w:w="677"/>
        <w:gridCol w:w="678"/>
        <w:gridCol w:w="679"/>
        <w:gridCol w:w="678"/>
        <w:gridCol w:w="677"/>
        <w:gridCol w:w="678"/>
        <w:gridCol w:w="679"/>
        <w:gridCol w:w="678"/>
        <w:gridCol w:w="675"/>
      </w:tblGrid>
      <w:tr>
        <w:trPr>
          <w:tblHeader w:val="true"/>
          <w:trHeight w:val="300" w:hRule="atLeast"/>
        </w:trPr>
        <w:tc>
          <w:tcPr>
            <w:tcW w:w="16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Прирост нагрузки, Гкал/ч</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2014</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2015</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2016</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2019</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2020</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2021</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2022</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2023</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2024</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2027</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2013-2027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2029</w:t>
            </w:r>
          </w:p>
        </w:tc>
        <w:tc>
          <w:tcPr>
            <w:tcW w:w="67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2013-2029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Всего по городу</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8,49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8,68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7,83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7,7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7,29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7,38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7,29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28,84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26,11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26,12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26,12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25,92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25,86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272,89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25,91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324,66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24,38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18,72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196,72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39,24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173,05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140,95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167,66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88,68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105,08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54,64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39,24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Всего по поселениям</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3,59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3,59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3,59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3,12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50,43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56,05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2,49</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40,41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44,87</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41,26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45,84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35,96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ИТОГО по муниципаль-ному образованию</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12,63</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12,82</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11,97</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11,84</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10,88</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10,97</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10,88</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31,96</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36,52</w:t>
            </w:r>
          </w:p>
        </w:tc>
        <w:tc>
          <w:tcPr>
            <w:tcW w:w="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28,92</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28,93</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28,93</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28,73</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28,67</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28,67</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323,32</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28,67</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28,72</w:t>
            </w:r>
          </w:p>
        </w:tc>
        <w:tc>
          <w:tcPr>
            <w:tcW w:w="6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380,71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26,87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20,89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237,13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20,84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278,75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51,38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42,53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5,53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4,85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4,85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4,84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18,32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18,34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173,05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16,62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206,28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140,95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167,66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3,26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3,74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52,42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59,14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3,36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3,52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2,67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2,77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2,78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9,89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14,44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8,91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8,95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8,95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8,75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8,72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97,85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8,72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i/>
                <w:i/>
                <w:color w:val="000000"/>
                <w:spacing w:val="0"/>
                <w:sz w:val="20"/>
                <w:szCs w:val="20"/>
                <w:lang w:eastAsia="ru-RU"/>
              </w:rPr>
            </w:pPr>
            <w:r>
              <w:rPr>
                <w:rFonts w:eastAsia="Times New Roman" w:cs="Arial"/>
                <w:b/>
                <w:i/>
                <w:color w:val="000000"/>
                <w:spacing w:val="0"/>
                <w:sz w:val="20"/>
                <w:szCs w:val="20"/>
                <w:lang w:eastAsia="ru-RU"/>
              </w:rPr>
              <w:t>115,29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59,63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51,38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4,28</w:t>
            </w:r>
          </w:p>
        </w:tc>
      </w:tr>
    </w:tbl>
    <w:p>
      <w:pPr>
        <w:pStyle w:val="Normal"/>
        <w:ind w:hanging="0"/>
        <w:rPr>
          <w:sz w:val="28"/>
          <w:szCs w:val="28"/>
        </w:rPr>
      </w:pPr>
      <w:r>
        <w:rPr>
          <w:sz w:val="28"/>
          <w:szCs w:val="28"/>
        </w:rPr>
      </w:r>
    </w:p>
    <w:p>
      <w:pPr>
        <w:pStyle w:val="Normal"/>
        <w:ind w:hanging="0"/>
        <w:rPr>
          <w:sz w:val="28"/>
          <w:szCs w:val="28"/>
        </w:rPr>
      </w:pPr>
      <w:r>
        <w:rPr>
          <w:sz w:val="28"/>
          <w:szCs w:val="28"/>
        </w:rPr>
      </w:r>
    </w:p>
    <w:p>
      <w:pPr>
        <w:pStyle w:val="Normal"/>
        <w:widowControl/>
        <w:spacing w:before="0" w:after="0"/>
        <w:ind w:hanging="0"/>
        <w:jc w:val="left"/>
        <w:textAlignment w:val="auto"/>
        <w:rPr>
          <w:b/>
          <w:bCs/>
          <w:sz w:val="18"/>
          <w:szCs w:val="18"/>
        </w:rPr>
      </w:pPr>
      <w:r>
        <w:rPr>
          <w:b/>
          <w:bCs/>
          <w:sz w:val="18"/>
          <w:szCs w:val="18"/>
        </w:rPr>
      </w:r>
      <w:bookmarkStart w:id="90" w:name="_Toc368304753"/>
      <w:bookmarkStart w:id="91" w:name="_Toc368304753"/>
      <w:r>
        <w:br w:type="page"/>
      </w:r>
    </w:p>
    <w:p>
      <w:pPr>
        <w:pStyle w:val="Normal"/>
        <w:spacing w:before="0" w:after="200"/>
        <w:ind w:hanging="0"/>
        <w:rPr>
          <w:b/>
          <w:bCs/>
          <w:sz w:val="18"/>
          <w:szCs w:val="18"/>
        </w:rPr>
      </w:pPr>
      <w:bookmarkStart w:id="92" w:name="_Toc132971362"/>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3</w:t>
      </w:r>
      <w:r>
        <w:rPr>
          <w:sz w:val="18"/>
          <w:b/>
          <w:szCs w:val="18"/>
          <w:bCs/>
        </w:rPr>
        <w:fldChar w:fldCharType="end"/>
      </w:r>
      <w:r>
        <w:rPr>
          <w:b/>
          <w:bCs/>
          <w:sz w:val="18"/>
          <w:szCs w:val="18"/>
        </w:rPr>
        <w:t>. Прирост теплопотребления при вводе новой застройки на период до 2030 г.  (тыс. Гкал)</w:t>
      </w:r>
      <w:bookmarkEnd w:id="91"/>
      <w:bookmarkEnd w:id="92"/>
    </w:p>
    <w:tbl>
      <w:tblPr>
        <w:tblW w:w="14526" w:type="dxa"/>
        <w:jc w:val="left"/>
        <w:tblInd w:w="103" w:type="dxa"/>
        <w:tblLayout w:type="fixed"/>
        <w:tblCellMar>
          <w:top w:w="0" w:type="dxa"/>
          <w:left w:w="28" w:type="dxa"/>
          <w:bottom w:w="0" w:type="dxa"/>
          <w:right w:w="28" w:type="dxa"/>
        </w:tblCellMar>
        <w:tblLook w:firstRow="1" w:noVBand="1" w:lastRow="0" w:firstColumn="1" w:lastColumn="0" w:noHBand="0" w:val="04a0"/>
      </w:tblPr>
      <w:tblGrid>
        <w:gridCol w:w="1641"/>
        <w:gridCol w:w="678"/>
        <w:gridCol w:w="679"/>
        <w:gridCol w:w="678"/>
        <w:gridCol w:w="677"/>
        <w:gridCol w:w="678"/>
        <w:gridCol w:w="679"/>
        <w:gridCol w:w="678"/>
        <w:gridCol w:w="677"/>
        <w:gridCol w:w="678"/>
        <w:gridCol w:w="680"/>
        <w:gridCol w:w="677"/>
        <w:gridCol w:w="678"/>
        <w:gridCol w:w="679"/>
        <w:gridCol w:w="678"/>
        <w:gridCol w:w="677"/>
        <w:gridCol w:w="678"/>
        <w:gridCol w:w="679"/>
        <w:gridCol w:w="678"/>
        <w:gridCol w:w="675"/>
      </w:tblGrid>
      <w:tr>
        <w:trPr>
          <w:tblHeader w:val="true"/>
          <w:trHeight w:val="300" w:hRule="atLeast"/>
        </w:trPr>
        <w:tc>
          <w:tcPr>
            <w:tcW w:w="16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2014</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2015</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2016</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2019</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2020</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2021</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2022</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2023</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2024</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2027</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2013-2027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2029</w:t>
            </w:r>
          </w:p>
        </w:tc>
        <w:tc>
          <w:tcPr>
            <w:tcW w:w="67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2013-2029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Всего по городу</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20,44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21,33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19,95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19,80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18,43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18,57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18,43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71,35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72,47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65,05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65,04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65,04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64,72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64,70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64,70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670,02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64,70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64,78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799,50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11,39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38,26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344,81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32,22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409,21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58,42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69,31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27,31</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266,79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320,98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15,77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507,32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274,44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325,46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232,88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280,12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3,39</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32,05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38,25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20,79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11,26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15,67</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130,65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155,67</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6,23</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49,58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59,06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58,42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69,31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22,65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Всего по поселениям</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10,65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10,65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10,65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10,65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9,25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9,25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9,25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8,04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8,04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129,99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144,51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82,56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91,32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6,60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40,83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115,69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4,76</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77,17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85,33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38,52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43,32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14,30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5,39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6,60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2,31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2,59</w:t>
            </w:r>
          </w:p>
        </w:tc>
      </w:tr>
      <w:tr>
        <w:trPr>
          <w:trHeight w:val="1000" w:hRule="atLeast"/>
        </w:trPr>
        <w:tc>
          <w:tcPr>
            <w:tcW w:w="1641"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ИТОГО по муниципаль-ному образованию</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31,09</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31,98</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30,60</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30,45</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27,68</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27,82</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27,68</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79,39</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80,51</w:t>
            </w:r>
          </w:p>
        </w:tc>
        <w:tc>
          <w:tcPr>
            <w:tcW w:w="68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72,31</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72,30</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72,30</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71,98</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71,96</w:t>
            </w:r>
          </w:p>
        </w:tc>
        <w:tc>
          <w:tcPr>
            <w:tcW w:w="677"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71,96</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800,01</w:t>
            </w:r>
          </w:p>
        </w:tc>
        <w:tc>
          <w:tcPr>
            <w:tcW w:w="679"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71,96</w:t>
            </w:r>
          </w:p>
        </w:tc>
        <w:tc>
          <w:tcPr>
            <w:tcW w:w="67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72,04</w:t>
            </w:r>
          </w:p>
        </w:tc>
        <w:tc>
          <w:tcPr>
            <w:tcW w:w="675"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944,01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18,80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19,15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43,34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427,37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500,53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65,02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76,59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29,85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307,62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366,89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15,77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507,32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274,44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325,46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232,88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280,12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147,74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9,61</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166,90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7,01</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97,96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110,02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49,78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4,84</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15,43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16,55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13,61</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144,95</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13,30</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171,53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6,55</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5,05</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54,97</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65,05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7,32</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65,02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5,79</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76,59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0,79</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2,51</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2,68</w:t>
            </w:r>
          </w:p>
        </w:tc>
        <w:tc>
          <w:tcPr>
            <w:tcW w:w="68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24,96</w:t>
            </w:r>
          </w:p>
        </w:tc>
        <w:tc>
          <w:tcPr>
            <w:tcW w:w="679"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2,47</w:t>
            </w:r>
          </w:p>
        </w:tc>
        <w:tc>
          <w:tcPr>
            <w:tcW w:w="675"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29,89</w:t>
            </w:r>
          </w:p>
        </w:tc>
      </w:tr>
    </w:tbl>
    <w:p>
      <w:pPr>
        <w:sectPr>
          <w:headerReference w:type="default" r:id="rId26"/>
          <w:headerReference w:type="first" r:id="rId27"/>
          <w:footerReference w:type="even" r:id="rId28"/>
          <w:footerReference w:type="default" r:id="rId29"/>
          <w:footerReference w:type="first" r:id="rId30"/>
          <w:type w:val="nextPage"/>
          <w:pgSz w:orient="landscape" w:w="16838" w:h="11906"/>
          <w:pgMar w:left="1032" w:right="1134" w:gutter="0" w:header="720" w:top="1134" w:footer="720" w:bottom="1701"/>
          <w:pgNumType w:fmt="decimal"/>
          <w:formProt w:val="false"/>
          <w:textDirection w:val="lrTb"/>
          <w:docGrid w:type="default" w:linePitch="299" w:charSpace="0"/>
        </w:sectPr>
      </w:pPr>
    </w:p>
    <w:p>
      <w:pPr>
        <w:pStyle w:val="ListParagraph"/>
        <w:numPr>
          <w:ilvl w:val="1"/>
          <w:numId w:val="28"/>
        </w:numPr>
        <w:suppressAutoHyphens w:val="true"/>
        <w:spacing w:before="240" w:after="120"/>
        <w:ind w:hanging="0" w:left="851"/>
        <w:contextualSpacing/>
        <w:outlineLvl w:val="1"/>
        <w:rPr>
          <w:rFonts w:ascii="Arial Black" w:hAnsi="Arial Black"/>
          <w:spacing w:val="-10"/>
          <w:kern w:val="2"/>
          <w:sz w:val="24"/>
          <w:szCs w:val="24"/>
        </w:rPr>
      </w:pPr>
      <w:bookmarkStart w:id="93" w:name="_Toc132981669"/>
      <w:r>
        <w:rPr>
          <w:rFonts w:ascii="Arial Black" w:hAnsi="Arial Black"/>
          <w:spacing w:val="-10"/>
          <w:kern w:val="2"/>
          <w:sz w:val="24"/>
          <w:szCs w:val="24"/>
        </w:rPr>
        <w:t>Показатели существующего и перспективного спроса на тепловую энергию (мощность) и теплоноситель.</w:t>
      </w:r>
      <w:bookmarkEnd w:id="93"/>
    </w:p>
    <w:p>
      <w:pPr>
        <w:pStyle w:val="Normal"/>
        <w:spacing w:before="120" w:after="200"/>
        <w:ind w:firstLine="993" w:left="-142"/>
        <w:rPr>
          <w:b/>
          <w:bCs/>
          <w:sz w:val="18"/>
          <w:szCs w:val="18"/>
        </w:rPr>
      </w:pPr>
      <w:r>
        <w:rPr>
          <w:b/>
          <w:bCs/>
          <w:sz w:val="18"/>
          <w:szCs w:val="18"/>
        </w:rPr>
        <w:t>Согласно исходящего письма № НВ-04/258-24 от 28.02.2024 от Министерства конкурентной политики Калужской области на имя Городского Головы города Калуги Д.А. Денисова представлены показатели сущетвующего и перспективного спроса на тепловую энергию (мощность и теплоноситель в установленных границах территории теплоснабжающих организаций на 2025 год.</w:t>
      </w:r>
    </w:p>
    <w:tbl>
      <w:tblPr>
        <w:tblpPr w:vertAnchor="text" w:horzAnchor="page" w:leftFromText="180" w:rightFromText="180" w:tblpX="583" w:tblpY="445"/>
        <w:tblW w:w="10879" w:type="dxa"/>
        <w:jc w:val="left"/>
        <w:tblInd w:w="-10" w:type="dxa"/>
        <w:tblLayout w:type="fixed"/>
        <w:tblCellMar>
          <w:top w:w="0" w:type="dxa"/>
          <w:left w:w="108" w:type="dxa"/>
          <w:bottom w:w="0" w:type="dxa"/>
          <w:right w:w="108" w:type="dxa"/>
        </w:tblCellMar>
        <w:tblLook w:firstRow="1" w:noVBand="1" w:lastRow="0" w:firstColumn="1" w:lastColumn="0" w:noHBand="0" w:val="04a0"/>
      </w:tblPr>
      <w:tblGrid>
        <w:gridCol w:w="582"/>
        <w:gridCol w:w="3524"/>
        <w:gridCol w:w="1276"/>
        <w:gridCol w:w="1051"/>
        <w:gridCol w:w="1051"/>
        <w:gridCol w:w="1226"/>
        <w:gridCol w:w="28"/>
        <w:gridCol w:w="1079"/>
        <w:gridCol w:w="1060"/>
      </w:tblGrid>
      <w:tr>
        <w:trPr>
          <w:tblHeader w:val="true"/>
          <w:trHeight w:val="330" w:hRule="atLeast"/>
        </w:trPr>
        <w:tc>
          <w:tcPr>
            <w:tcW w:w="582"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 xml:space="preserve">№ </w:t>
            </w:r>
            <w:r>
              <w:rPr>
                <w:rFonts w:eastAsia="Times New Roman" w:cs="Arial"/>
                <w:b/>
                <w:bCs/>
                <w:color w:val="000000"/>
                <w:spacing w:val="0"/>
                <w:sz w:val="20"/>
                <w:szCs w:val="20"/>
                <w:lang w:eastAsia="ru-RU"/>
              </w:rPr>
              <w:t>п/п</w:t>
            </w:r>
          </w:p>
        </w:tc>
        <w:tc>
          <w:tcPr>
            <w:tcW w:w="3524"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Наименование организации</w:t>
            </w:r>
          </w:p>
        </w:tc>
        <w:tc>
          <w:tcPr>
            <w:tcW w:w="4632" w:type="dxa"/>
            <w:gridSpan w:val="5"/>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Фактичесие объемы полезного отпуска, тыс. Гкал </w:t>
            </w:r>
          </w:p>
        </w:tc>
        <w:tc>
          <w:tcPr>
            <w:tcW w:w="2139" w:type="dxa"/>
            <w:gridSpan w:val="2"/>
            <w:tcBorders>
              <w:top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Calibri" w:cs="Arial"/>
                <w:b/>
                <w:bCs/>
                <w:color w:val="000000"/>
                <w:spacing w:val="0"/>
                <w:sz w:val="20"/>
                <w:szCs w:val="20"/>
                <w:lang w:eastAsia="ru-RU"/>
              </w:rPr>
              <w:t>Плановые объемы полезного отпуска, тыс. Гкал</w:t>
            </w:r>
          </w:p>
        </w:tc>
      </w:tr>
      <w:tr>
        <w:trPr>
          <w:tblHeader w:val="true"/>
          <w:trHeight w:val="615" w:hRule="atLeast"/>
        </w:trPr>
        <w:tc>
          <w:tcPr>
            <w:tcW w:w="4106" w:type="dxa"/>
            <w:gridSpan w:val="2"/>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Город Калуга</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2021 год</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2022 год</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2023 год</w:t>
            </w:r>
          </w:p>
        </w:tc>
        <w:tc>
          <w:tcPr>
            <w:tcW w:w="1226" w:type="dxa"/>
            <w:tcBorders>
              <w:top w:val="single" w:sz="8" w:space="0" w:color="000000"/>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2024 год</w:t>
            </w:r>
          </w:p>
        </w:tc>
        <w:tc>
          <w:tcPr>
            <w:tcW w:w="1107" w:type="dxa"/>
            <w:gridSpan w:val="2"/>
            <w:tcBorders>
              <w:top w:val="single" w:sz="8" w:space="0" w:color="000000"/>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2025 год</w:t>
            </w:r>
          </w:p>
        </w:tc>
        <w:tc>
          <w:tcPr>
            <w:tcW w:w="1060" w:type="dxa"/>
            <w:tcBorders>
              <w:top w:val="single" w:sz="8" w:space="0" w:color="000000"/>
              <w:left w:val="single" w:sz="8"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2026 год</w:t>
            </w:r>
          </w:p>
        </w:tc>
      </w:tr>
      <w:tr>
        <w:trPr>
          <w:trHeight w:val="615" w:hRule="atLeast"/>
        </w:trPr>
        <w:tc>
          <w:tcPr>
            <w:tcW w:w="582" w:type="dxa"/>
            <w:tcBorders>
              <w:left w:val="single" w:sz="8" w:space="0" w:color="000000"/>
              <w:bottom w:val="single" w:sz="8" w:space="0" w:color="000000"/>
              <w:right w:val="single" w:sz="8" w:space="0" w:color="000000"/>
            </w:tcBorders>
            <w:shd w:color="auto" w:fill="auto" w:val="clear"/>
            <w:vAlign w:val="bottom"/>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"Калужский завод путевых машин и гидроприводов"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47,013</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47,606</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48,00</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"ДОМ"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13,55</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13,550</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13,55</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13,55</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13,55</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10,50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 Калужское предприятие "Сигнал"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2,526</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2,511</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2,116</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2,299</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2,299</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"КНИИТМУ"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3,165</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2,913</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2,7</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2,900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2,90</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2,80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"Калужский электромеханический завод"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110,00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109,521</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101,6</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109,52</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109,52</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105,00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ПАО "Калужский двигатель"</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30,1</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30,1</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28,92</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30,096</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30,096</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30,096</w:t>
            </w:r>
          </w:p>
        </w:tc>
      </w:tr>
      <w:tr>
        <w:trPr>
          <w:trHeight w:val="615"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7</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"НПП "Калужский приборостроительный завод "Тайфун"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98,17</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95,768</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97,558</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108,0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108,0</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101,00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"Калужская обувная фабрика "Калита"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5,58</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5,37</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4,73</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5,730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5,73</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5,718</w:t>
            </w:r>
          </w:p>
        </w:tc>
      </w:tr>
      <w:tr>
        <w:trPr>
          <w:trHeight w:val="615"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9</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"Азимут"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80,98</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81,700</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80,00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80,00</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80,00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АО «Сыры калужские»</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0,610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0,603</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0,600</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"Элмат"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1,53</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1,41</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1,500</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1,500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1,50</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"Калугатехремонт"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6,100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5,504</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6,185</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6,500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6,25</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6,00</w:t>
            </w:r>
          </w:p>
        </w:tc>
      </w:tr>
      <w:tr>
        <w:trPr>
          <w:trHeight w:val="615" w:hRule="atLeast"/>
        </w:trPr>
        <w:tc>
          <w:tcPr>
            <w:tcW w:w="58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13</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МУП «Калугатеплосеть»   (котельные, в том числе, с категорией населения)</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1198,270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1273,115</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1231,600</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1227,799</w:t>
            </w:r>
          </w:p>
        </w:tc>
      </w:tr>
      <w:tr>
        <w:trPr>
          <w:trHeight w:val="615" w:hRule="atLeast"/>
        </w:trPr>
        <w:tc>
          <w:tcPr>
            <w:tcW w:w="58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Котельные с категорией потребителей «Бюджет», «Прочие»</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24,602</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25,220</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25,989</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15,605</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15,605</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14,936</w:t>
            </w:r>
          </w:p>
        </w:tc>
      </w:tr>
      <w:tr>
        <w:trPr>
          <w:trHeight w:val="330" w:hRule="atLeast"/>
        </w:trPr>
        <w:tc>
          <w:tcPr>
            <w:tcW w:w="58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Котельная микрорайн «Веснушки»</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11,10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17,202</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13,821</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14,747</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17,587</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18,865</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АО "Восход" - Калужский радиоламповый завод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18,948</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20,052</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20,383</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20,052</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20,052</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20,200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"Тепло-Сервис"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21,239</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24,940</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29,149</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20,59</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20,59</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21,62</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16</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«Форик» ("ПрофИнжиниринг")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1,2057</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1,1984</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1,432</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1,167</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1,1575</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"СЕТЕВАЯ КОМПАНИЯ"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8,840</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8,507</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8,391</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7,863</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7,996</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7,657</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18</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 xml:space="preserve">ООО "Постак" </w:t>
            </w:r>
          </w:p>
        </w:tc>
        <w:tc>
          <w:tcPr>
            <w:tcW w:w="1276"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1,261</w:t>
            </w:r>
          </w:p>
        </w:tc>
        <w:tc>
          <w:tcPr>
            <w:tcW w:w="1051"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1,416</w:t>
            </w:r>
          </w:p>
        </w:tc>
        <w:tc>
          <w:tcPr>
            <w:tcW w:w="1051" w:type="dxa"/>
            <w:tcBorders>
              <w:bottom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2,180</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2,00</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1,80</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19</w:t>
            </w:r>
          </w:p>
        </w:tc>
        <w:tc>
          <w:tcPr>
            <w:tcW w:w="352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ООО "Энерготранс"</w:t>
            </w:r>
          </w:p>
        </w:tc>
        <w:tc>
          <w:tcPr>
            <w:tcW w:w="1276" w:type="dxa"/>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w:t>
            </w:r>
          </w:p>
        </w:tc>
        <w:tc>
          <w:tcPr>
            <w:tcW w:w="1051" w:type="dxa"/>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0,845</w:t>
            </w:r>
          </w:p>
        </w:tc>
        <w:tc>
          <w:tcPr>
            <w:tcW w:w="1051" w:type="dxa"/>
            <w:tcBorders>
              <w:bottom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0,838</w:t>
            </w:r>
          </w:p>
        </w:tc>
        <w:tc>
          <w:tcPr>
            <w:tcW w:w="1226" w:type="dxa"/>
            <w:tcBorders>
              <w:left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0,839</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0,838</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0,85</w:t>
            </w:r>
          </w:p>
        </w:tc>
      </w:tr>
      <w:tr>
        <w:trPr>
          <w:trHeight w:val="330" w:hRule="atLeast"/>
        </w:trPr>
        <w:tc>
          <w:tcPr>
            <w:tcW w:w="582" w:type="dxa"/>
            <w:tcBorders>
              <w:top w:val="single" w:sz="8" w:space="0" w:color="000000"/>
              <w:left w:val="single" w:sz="8" w:space="0" w:color="000000"/>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20</w:t>
            </w:r>
          </w:p>
        </w:tc>
        <w:tc>
          <w:tcPr>
            <w:tcW w:w="3524" w:type="dxa"/>
            <w:tcBorders>
              <w:top w:val="single" w:sz="8"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Calibri" w:cs="Arial"/>
                <w:color w:val="000000"/>
                <w:spacing w:val="0"/>
                <w:sz w:val="20"/>
                <w:szCs w:val="20"/>
                <w:lang w:eastAsia="ru-RU"/>
              </w:rPr>
            </w:pPr>
            <w:r>
              <w:rPr>
                <w:rFonts w:eastAsia="Calibri" w:cs="Arial"/>
                <w:color w:val="000000"/>
                <w:spacing w:val="0"/>
                <w:sz w:val="20"/>
                <w:szCs w:val="20"/>
                <w:lang w:eastAsia="ru-RU"/>
              </w:rPr>
              <w:t>ООО "ТЕРРАИНВЕСТ"</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r>
          </w:p>
        </w:tc>
        <w:tc>
          <w:tcPr>
            <w:tcW w:w="10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0,60</w:t>
            </w:r>
          </w:p>
        </w:tc>
        <w:tc>
          <w:tcPr>
            <w:tcW w:w="10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1,511</w:t>
            </w:r>
          </w:p>
        </w:tc>
        <w:tc>
          <w:tcPr>
            <w:tcW w:w="1226"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1,511</w:t>
            </w:r>
          </w:p>
        </w:tc>
        <w:tc>
          <w:tcPr>
            <w:tcW w:w="1107" w:type="dxa"/>
            <w:gridSpan w:val="2"/>
            <w:tcBorders>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1,511</w:t>
            </w:r>
          </w:p>
        </w:tc>
        <w:tc>
          <w:tcPr>
            <w:tcW w:w="1060" w:type="dxa"/>
            <w:tcBorders>
              <w:bottom w:val="single" w:sz="4" w:space="0" w:color="000000"/>
              <w:right w:val="single" w:sz="8" w:space="0" w:color="000000"/>
            </w:tcBorders>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1,511</w:t>
            </w:r>
          </w:p>
        </w:tc>
      </w:tr>
      <w:tr>
        <w:trPr>
          <w:trHeight w:val="1475" w:hRule="atLeast"/>
        </w:trPr>
        <w:tc>
          <w:tcPr>
            <w:tcW w:w="582" w:type="dxa"/>
            <w:tcBorders>
              <w:top w:val="single" w:sz="4"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w:t>
            </w:r>
          </w:p>
        </w:tc>
        <w:tc>
          <w:tcPr>
            <w:tcW w:w="3524" w:type="dxa"/>
            <w:tcBorders>
              <w:top w:val="single" w:sz="4"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Организации,  функционирующие в режиме комбинированной выработки электрической и тепловой энергии</w:t>
            </w:r>
          </w:p>
        </w:tc>
        <w:tc>
          <w:tcPr>
            <w:tcW w:w="3378" w:type="dxa"/>
            <w:gridSpan w:val="3"/>
            <w:tcBorders>
              <w:top w:val="single" w:sz="4" w:space="0" w:color="000000"/>
              <w:bottom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 </w:t>
            </w:r>
          </w:p>
        </w:tc>
        <w:tc>
          <w:tcPr>
            <w:tcW w:w="2333" w:type="dxa"/>
            <w:gridSpan w:val="3"/>
            <w:tcBorders>
              <w:top w:val="single" w:sz="4" w:space="0" w:color="000000"/>
              <w:left w:val="single" w:sz="8" w:space="0" w:color="000000"/>
              <w:bottom w:val="single" w:sz="4"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Плановые объемы отпуска тепловой энергии с коллекторов ТЭЦ,                                  тыс. Гкал</w:t>
            </w:r>
          </w:p>
        </w:tc>
        <w:tc>
          <w:tcPr>
            <w:tcW w:w="1060" w:type="dxa"/>
            <w:tcBorders>
              <w:top w:val="single" w:sz="4" w:space="0" w:color="000000"/>
              <w:left w:val="single" w:sz="8" w:space="0" w:color="000000"/>
              <w:bottom w:val="single" w:sz="4" w:space="0" w:color="000000"/>
              <w:right w:val="single" w:sz="8" w:space="0" w:color="000000"/>
            </w:tcBorders>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21</w:t>
            </w:r>
          </w:p>
        </w:tc>
        <w:tc>
          <w:tcPr>
            <w:tcW w:w="3524" w:type="dxa"/>
            <w:tcBorders>
              <w:bottom w:val="single" w:sz="8" w:space="0" w:color="000000"/>
              <w:right w:val="single" w:sz="8" w:space="0" w:color="000000"/>
            </w:tcBorders>
            <w:shd w:color="auto" w:fill="auto" w:val="clear"/>
            <w:vAlign w:val="center"/>
          </w:tcPr>
          <w:p>
            <w:pPr>
              <w:pStyle w:val="Normal"/>
              <w:spacing w:before="120" w:after="120"/>
              <w:ind w:hanging="0"/>
              <w:jc w:val="left"/>
              <w:rPr>
                <w:sz w:val="20"/>
                <w:szCs w:val="20"/>
              </w:rPr>
            </w:pPr>
            <w:r>
              <w:rPr>
                <w:sz w:val="20"/>
                <w:szCs w:val="20"/>
              </w:rPr>
              <w:t>ПАО " Калужский турбинный завод"</w:t>
            </w:r>
          </w:p>
        </w:tc>
        <w:tc>
          <w:tcPr>
            <w:tcW w:w="1276" w:type="dxa"/>
            <w:tcBorders>
              <w:bottom w:val="single" w:sz="8" w:space="0" w:color="000000"/>
              <w:right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252,976</w:t>
            </w:r>
          </w:p>
        </w:tc>
        <w:tc>
          <w:tcPr>
            <w:tcW w:w="1051" w:type="dxa"/>
            <w:tcBorders>
              <w:bottom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258,206</w:t>
            </w:r>
          </w:p>
        </w:tc>
        <w:tc>
          <w:tcPr>
            <w:tcW w:w="1051" w:type="dxa"/>
            <w:tcBorders>
              <w:left w:val="single" w:sz="8" w:space="0" w:color="000000"/>
              <w:bottom w:val="single" w:sz="4" w:space="0" w:color="000000"/>
              <w:right w:val="single" w:sz="4"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277,869</w:t>
            </w:r>
          </w:p>
        </w:tc>
        <w:tc>
          <w:tcPr>
            <w:tcW w:w="1226" w:type="dxa"/>
            <w:tcBorders>
              <w:bottom w:val="single" w:sz="4" w:space="0" w:color="000000"/>
              <w:right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318,298</w:t>
            </w:r>
          </w:p>
        </w:tc>
        <w:tc>
          <w:tcPr>
            <w:tcW w:w="1107" w:type="dxa"/>
            <w:gridSpan w:val="2"/>
            <w:tcBorders>
              <w:bottom w:val="single" w:sz="4" w:space="0" w:color="000000"/>
              <w:right w:val="single" w:sz="8" w:space="0" w:color="000000"/>
            </w:tcBorders>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315,295</w:t>
            </w:r>
          </w:p>
        </w:tc>
        <w:tc>
          <w:tcPr>
            <w:tcW w:w="1060" w:type="dxa"/>
            <w:tcBorders>
              <w:bottom w:val="single" w:sz="4" w:space="0" w:color="000000"/>
              <w:right w:val="single" w:sz="8" w:space="0" w:color="000000"/>
            </w:tcBorders>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289,609</w:t>
            </w:r>
          </w:p>
        </w:tc>
      </w:tr>
      <w:tr>
        <w:trPr>
          <w:trHeight w:val="330" w:hRule="atLeast"/>
        </w:trPr>
        <w:tc>
          <w:tcPr>
            <w:tcW w:w="582"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w:t>
            </w:r>
          </w:p>
        </w:tc>
        <w:tc>
          <w:tcPr>
            <w:tcW w:w="3524" w:type="dxa"/>
            <w:tcBorders>
              <w:bottom w:val="single" w:sz="8" w:space="0" w:color="000000"/>
              <w:right w:val="single" w:sz="8" w:space="0" w:color="000000"/>
            </w:tcBorders>
            <w:shd w:color="auto" w:fill="auto" w:val="clear"/>
            <w:vAlign w:val="center"/>
          </w:tcPr>
          <w:p>
            <w:pPr>
              <w:pStyle w:val="Normal"/>
              <w:spacing w:before="120" w:after="120"/>
              <w:ind w:hanging="0"/>
              <w:jc w:val="left"/>
              <w:rPr>
                <w:sz w:val="20"/>
                <w:szCs w:val="20"/>
              </w:rPr>
            </w:pPr>
            <w:r>
              <w:rPr>
                <w:sz w:val="20"/>
                <w:szCs w:val="20"/>
              </w:rPr>
              <w:t>АО "Квадра" –«Калужская генерация»</w:t>
            </w:r>
          </w:p>
        </w:tc>
        <w:tc>
          <w:tcPr>
            <w:tcW w:w="1276" w:type="dxa"/>
            <w:tcBorders>
              <w:bottom w:val="single" w:sz="8" w:space="0" w:color="000000"/>
              <w:right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48,2840</w:t>
            </w:r>
          </w:p>
        </w:tc>
        <w:tc>
          <w:tcPr>
            <w:tcW w:w="1051" w:type="dxa"/>
            <w:tcBorders>
              <w:bottom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46,595</w:t>
            </w:r>
          </w:p>
        </w:tc>
        <w:tc>
          <w:tcPr>
            <w:tcW w:w="1051" w:type="dxa"/>
            <w:tcBorders>
              <w:left w:val="single" w:sz="8" w:space="0" w:color="000000"/>
              <w:bottom w:val="single" w:sz="8" w:space="0" w:color="000000"/>
              <w:right w:val="single" w:sz="4"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41,660</w:t>
            </w:r>
          </w:p>
        </w:tc>
        <w:tc>
          <w:tcPr>
            <w:tcW w:w="1226" w:type="dxa"/>
            <w:tcBorders>
              <w:bottom w:val="single" w:sz="8" w:space="0" w:color="000000"/>
              <w:right w:val="single" w:sz="8" w:space="0" w:color="000000"/>
            </w:tcBorders>
            <w:shd w:color="auto" w:fill="auto" w:val="clear"/>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47,177</w:t>
            </w:r>
          </w:p>
        </w:tc>
        <w:tc>
          <w:tcPr>
            <w:tcW w:w="1107" w:type="dxa"/>
            <w:gridSpan w:val="2"/>
            <w:tcBorders>
              <w:bottom w:val="single" w:sz="8" w:space="0" w:color="000000"/>
              <w:right w:val="single" w:sz="8" w:space="0" w:color="000000"/>
            </w:tcBorders>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44,139</w:t>
            </w:r>
          </w:p>
        </w:tc>
        <w:tc>
          <w:tcPr>
            <w:tcW w:w="1060" w:type="dxa"/>
            <w:tcBorders>
              <w:bottom w:val="single" w:sz="8" w:space="0" w:color="000000"/>
              <w:right w:val="single" w:sz="8" w:space="0" w:color="000000"/>
            </w:tcBorders>
            <w:vAlign w:val="center"/>
          </w:tcPr>
          <w:p>
            <w:pPr>
              <w:pStyle w:val="Normal"/>
              <w:widowControl/>
              <w:spacing w:lineRule="auto" w:line="480"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44,195</w:t>
            </w:r>
          </w:p>
        </w:tc>
      </w:tr>
    </w:tbl>
    <w:p>
      <w:pPr>
        <w:pStyle w:val="Normal"/>
        <w:spacing w:before="120" w:after="200"/>
        <w:ind w:hanging="0" w:left="-142"/>
        <w:rPr>
          <w:b/>
          <w:bCs/>
          <w:sz w:val="18"/>
          <w:szCs w:val="18"/>
        </w:rPr>
      </w:pPr>
      <w:bookmarkStart w:id="94" w:name="_Toc132971363"/>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4</w:t>
      </w:r>
      <w:r>
        <w:rPr>
          <w:sz w:val="18"/>
          <w:b/>
          <w:szCs w:val="18"/>
          <w:bCs/>
        </w:rPr>
        <w:fldChar w:fldCharType="end"/>
      </w:r>
      <w:r>
        <w:rPr>
          <w:b/>
          <w:bCs/>
          <w:sz w:val="18"/>
          <w:szCs w:val="18"/>
        </w:rPr>
        <w:t xml:space="preserve">. </w:t>
      </w:r>
      <w:r>
        <w:rPr>
          <w:b/>
          <w:bCs/>
          <w:sz w:val="18"/>
          <w:szCs w:val="18"/>
          <w:lang w:val="en-US"/>
        </w:rPr>
        <w:t>C</w:t>
      </w:r>
      <w:r>
        <w:rPr>
          <w:b/>
          <w:bCs/>
          <w:sz w:val="18"/>
          <w:szCs w:val="18"/>
        </w:rPr>
        <w:t>уществующие и переспективные показателяи работы теплоснабжающих и теплосетевых организаций</w:t>
      </w:r>
      <w:bookmarkEnd w:id="94"/>
    </w:p>
    <w:p>
      <w:pPr>
        <w:pStyle w:val="Normal"/>
        <w:ind w:firstLine="720"/>
        <w:rPr/>
      </w:pPr>
      <w:r>
        <w:rPr/>
        <w:t>Согласно исходящего письма № 206-010/579 от 29.02.2024г. от АО «Тайфун» на имя Заместителя начальника управления ЖКХ С.В. Шмарева, представлен прогнозный баланс отпуска тепловой энергии и теплоносителя от производственного подразделения АО «Тайфун» на 2025 год.</w:t>
      </w:r>
    </w:p>
    <w:p>
      <w:pPr>
        <w:pStyle w:val="Normal"/>
        <w:ind w:hanging="0"/>
        <w:rPr>
          <w:lang w:eastAsia="ru-RU"/>
        </w:rPr>
      </w:pPr>
      <w:r>
        <w:rPr>
          <w:lang w:eastAsia="ru-RU"/>
        </w:rPr>
      </w:r>
    </w:p>
    <w:p>
      <w:pPr>
        <w:pStyle w:val="Normal"/>
        <w:ind w:hanging="0"/>
        <w:rPr>
          <w:lang w:eastAsia="ru-RU"/>
        </w:rPr>
      </w:pPr>
      <w:r>
        <w:rPr/>
        <w:drawing>
          <wp:inline distT="0" distB="0" distL="0" distR="0">
            <wp:extent cx="6115685" cy="4429125"/>
            <wp:effectExtent l="0" t="0" r="0" b="0"/>
            <wp:docPr id="9" name="Рисунок 737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3769" descr=""/>
                    <pic:cNvPicPr>
                      <a:picLocks noChangeAspect="1" noChangeArrowheads="1"/>
                    </pic:cNvPicPr>
                  </pic:nvPicPr>
                  <pic:blipFill>
                    <a:blip r:embed="rId31"/>
                    <a:stretch>
                      <a:fillRect/>
                    </a:stretch>
                  </pic:blipFill>
                  <pic:spPr bwMode="auto">
                    <a:xfrm>
                      <a:off x="0" y="0"/>
                      <a:ext cx="6115685" cy="4429125"/>
                    </a:xfrm>
                    <a:prstGeom prst="rect">
                      <a:avLst/>
                    </a:prstGeom>
                    <a:noFill/>
                  </pic:spPr>
                </pic:pic>
              </a:graphicData>
            </a:graphic>
          </wp:inline>
        </w:drawing>
      </w:r>
    </w:p>
    <w:p>
      <w:pPr>
        <w:pStyle w:val="Normal"/>
        <w:ind w:hanging="0"/>
        <w:rPr>
          <w:lang w:eastAsia="ru-RU"/>
        </w:rPr>
      </w:pPr>
      <w:r>
        <w:rPr>
          <w:lang w:eastAsia="ru-RU"/>
        </w:rPr>
      </w:r>
    </w:p>
    <w:p>
      <w:pPr>
        <w:pStyle w:val="Normal"/>
        <w:ind w:hanging="0"/>
        <w:rPr>
          <w:lang w:eastAsia="ru-RU"/>
        </w:rPr>
      </w:pPr>
      <w:r>
        <w:rPr>
          <w:lang w:eastAsia="ru-RU"/>
        </w:rPr>
      </w:r>
    </w:p>
    <w:p>
      <w:pPr>
        <w:pStyle w:val="Normal"/>
        <w:ind w:hanging="0"/>
        <w:rPr>
          <w:lang w:eastAsia="ru-RU"/>
        </w:rPr>
      </w:pPr>
      <w:r>
        <w:rPr>
          <w:lang w:eastAsia="ru-RU"/>
        </w:rPr>
      </w:r>
    </w:p>
    <w:p>
      <w:pPr>
        <w:pStyle w:val="Normal"/>
        <w:ind w:hanging="0"/>
        <w:rPr>
          <w:lang w:eastAsia="ru-RU"/>
        </w:rPr>
      </w:pPr>
      <w:r>
        <w:rPr>
          <w:lang w:eastAsia="ru-RU"/>
        </w:rPr>
      </w:r>
    </w:p>
    <w:p>
      <w:pPr>
        <w:pStyle w:val="Normal"/>
        <w:ind w:hanging="0"/>
        <w:rPr>
          <w:lang w:eastAsia="ru-RU"/>
        </w:rPr>
      </w:pPr>
      <w:r>
        <w:rPr>
          <w:lang w:eastAsia="ru-RU"/>
        </w:rPr>
      </w:r>
    </w:p>
    <w:p>
      <w:pPr>
        <w:pStyle w:val="Normal"/>
        <w:ind w:hanging="0"/>
        <w:rPr/>
      </w:pPr>
      <w:r>
        <w:rPr/>
      </w:r>
    </w:p>
    <w:p>
      <w:pPr>
        <w:pStyle w:val="Normal"/>
        <w:ind w:firstLine="720"/>
        <w:rPr/>
      </w:pPr>
      <w:r>
        <w:rPr/>
      </w:r>
    </w:p>
    <w:p>
      <w:pPr>
        <w:pStyle w:val="Normal"/>
        <w:ind w:firstLine="720"/>
        <w:rPr/>
      </w:pPr>
      <w:r>
        <w:rPr/>
        <w:t>Согласно исходящего письма № 935-36/91-ИСХ от 29.02.2024 от АО «КВАДРА» - «Калужская генерация»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АО «КВАДРА» - «Калужская генерация» на 2026год.</w:t>
      </w:r>
    </w:p>
    <w:p>
      <w:pPr>
        <w:pStyle w:val="Normal"/>
        <w:spacing w:before="120" w:after="200"/>
        <w:ind w:hanging="0"/>
        <w:rPr>
          <w:b/>
          <w:bCs/>
          <w:sz w:val="18"/>
          <w:szCs w:val="18"/>
        </w:rPr>
      </w:pPr>
      <w:bookmarkStart w:id="95" w:name="_Toc132971364"/>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5</w:t>
      </w:r>
      <w:r>
        <w:rPr>
          <w:sz w:val="18"/>
          <w:b/>
          <w:szCs w:val="18"/>
          <w:bCs/>
        </w:rPr>
        <w:fldChar w:fldCharType="end"/>
      </w:r>
      <w:r>
        <w:rPr>
          <w:b/>
          <w:bCs/>
          <w:sz w:val="18"/>
          <w:szCs w:val="18"/>
        </w:rPr>
        <w:t>. Отпуск тепловой энергии АО «КВАДРА»</w:t>
      </w:r>
      <w:bookmarkEnd w:id="95"/>
      <w:r>
        <w:rPr>
          <w:b/>
          <w:bCs/>
          <w:sz w:val="18"/>
          <w:szCs w:val="18"/>
        </w:rPr>
        <w:t xml:space="preserve"> - «Калужская генерация»</w:t>
      </w:r>
    </w:p>
    <w:tbl>
      <w:tblPr>
        <w:tblStyle w:val="201"/>
        <w:tblpPr w:vertAnchor="text" w:horzAnchor="margin" w:leftFromText="180" w:rightFromText="180" w:tblpX="0" w:tblpY="197"/>
        <w:tblW w:w="7479" w:type="dxa"/>
        <w:jc w:val="left"/>
        <w:tblInd w:w="-5" w:type="dxa"/>
        <w:tblLayout w:type="fixed"/>
        <w:tblCellMar>
          <w:top w:w="0" w:type="dxa"/>
          <w:left w:w="108" w:type="dxa"/>
          <w:bottom w:w="0" w:type="dxa"/>
          <w:right w:w="108" w:type="dxa"/>
        </w:tblCellMar>
        <w:tblLook w:firstRow="1" w:noVBand="1" w:lastRow="0" w:firstColumn="1" w:lastColumn="0" w:noHBand="0" w:val="04a0"/>
      </w:tblPr>
      <w:tblGrid>
        <w:gridCol w:w="830"/>
        <w:gridCol w:w="4522"/>
        <w:gridCol w:w="1281"/>
        <w:gridCol w:w="845"/>
      </w:tblGrid>
      <w:tr>
        <w:trPr>
          <w:tblHeader w:val="true"/>
          <w:trHeight w:val="20" w:hRule="atLeast"/>
        </w:trPr>
        <w:tc>
          <w:tcPr>
            <w:tcW w:w="830" w:type="dxa"/>
            <w:tcBorders/>
          </w:tcPr>
          <w:p>
            <w:pPr>
              <w:pStyle w:val="Normal"/>
              <w:widowControl/>
              <w:spacing w:before="0" w:after="0"/>
              <w:ind w:hanging="0"/>
              <w:jc w:val="left"/>
              <w:textAlignment w:val="auto"/>
              <w:rPr>
                <w:rFonts w:ascii="Calibri" w:hAnsi="Calibri" w:eastAsia="Calibri"/>
                <w:b/>
                <w:spacing w:val="0"/>
              </w:rPr>
            </w:pPr>
            <w:r>
              <w:rPr>
                <w:rFonts w:eastAsia="Calibri" w:cs="Times New Roman" w:ascii="Calibri" w:hAnsi="Calibri"/>
                <w:b/>
                <w:spacing w:val="0"/>
                <w:kern w:val="0"/>
                <w:lang w:val="ru-RU" w:bidi="ar-SA"/>
              </w:rPr>
              <w:t xml:space="preserve">№ </w:t>
            </w:r>
            <w:r>
              <w:rPr>
                <w:rFonts w:eastAsia="Calibri" w:cs="Times New Roman" w:ascii="Calibri" w:hAnsi="Calibri"/>
                <w:b/>
                <w:spacing w:val="0"/>
                <w:kern w:val="0"/>
                <w:lang w:val="ru-RU" w:bidi="ar-SA"/>
              </w:rPr>
              <w:t>п/п</w:t>
            </w:r>
          </w:p>
        </w:tc>
        <w:tc>
          <w:tcPr>
            <w:tcW w:w="4522" w:type="dxa"/>
            <w:tcBorders/>
          </w:tcPr>
          <w:p>
            <w:pPr>
              <w:pStyle w:val="Normal"/>
              <w:widowControl/>
              <w:spacing w:before="0" w:after="0"/>
              <w:ind w:hanging="0"/>
              <w:jc w:val="center"/>
              <w:textAlignment w:val="auto"/>
              <w:rPr>
                <w:rFonts w:ascii="Calibri" w:hAnsi="Calibri" w:eastAsia="Calibri"/>
                <w:b/>
                <w:spacing w:val="0"/>
              </w:rPr>
            </w:pPr>
            <w:r>
              <w:rPr>
                <w:rFonts w:eastAsia="Calibri" w:cs="Times New Roman" w:ascii="Calibri" w:hAnsi="Calibri"/>
                <w:b/>
                <w:spacing w:val="0"/>
                <w:kern w:val="0"/>
                <w:lang w:val="ru-RU" w:bidi="ar-SA"/>
              </w:rPr>
              <w:t>Показатели</w:t>
            </w:r>
          </w:p>
        </w:tc>
        <w:tc>
          <w:tcPr>
            <w:tcW w:w="1281" w:type="dxa"/>
            <w:tcBorders/>
          </w:tcPr>
          <w:p>
            <w:pPr>
              <w:pStyle w:val="Normal"/>
              <w:widowControl/>
              <w:spacing w:before="0" w:after="0"/>
              <w:ind w:hanging="0"/>
              <w:jc w:val="left"/>
              <w:textAlignment w:val="auto"/>
              <w:rPr>
                <w:rFonts w:ascii="Calibri" w:hAnsi="Calibri" w:eastAsia="Calibri"/>
                <w:b/>
                <w:spacing w:val="0"/>
              </w:rPr>
            </w:pPr>
            <w:r>
              <w:rPr>
                <w:rFonts w:eastAsia="Calibri" w:cs="Times New Roman" w:ascii="Calibri" w:hAnsi="Calibri"/>
                <w:b/>
                <w:spacing w:val="0"/>
                <w:kern w:val="0"/>
                <w:lang w:val="ru-RU" w:bidi="ar-SA"/>
              </w:rPr>
              <w:t>Единицы измерения</w:t>
            </w:r>
          </w:p>
        </w:tc>
        <w:tc>
          <w:tcPr>
            <w:tcW w:w="845" w:type="dxa"/>
            <w:tcBorders/>
          </w:tcPr>
          <w:p>
            <w:pPr>
              <w:pStyle w:val="Normal"/>
              <w:widowControl/>
              <w:spacing w:before="0" w:after="0"/>
              <w:ind w:hanging="0"/>
              <w:jc w:val="left"/>
              <w:textAlignment w:val="auto"/>
              <w:rPr>
                <w:rFonts w:ascii="Calibri" w:hAnsi="Calibri" w:eastAsia="Calibri"/>
                <w:b/>
                <w:spacing w:val="0"/>
              </w:rPr>
            </w:pPr>
            <w:r>
              <w:rPr>
                <w:rFonts w:eastAsia="Calibri" w:cs="Times New Roman" w:ascii="Calibri" w:hAnsi="Calibri"/>
                <w:b/>
                <w:spacing w:val="0"/>
                <w:kern w:val="0"/>
                <w:lang w:val="ru-RU" w:bidi="ar-SA"/>
              </w:rPr>
              <w:t>2026 год</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1</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Отпуск тепловой энергии с коллекторов источника тепловой энергии</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44,195</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2</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Расход тепловой энергии на хозяйственные нужды</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0,176</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3</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Отпуск тепловой энергии от источника (отпуск в сеть)</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44,019</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Потери тепловой энергии</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2,862</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5</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 xml:space="preserve">Полезный отпуск тепловой энергии потребителям </w:t>
            </w:r>
          </w:p>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 xml:space="preserve"> </w:t>
            </w:r>
            <w:r>
              <w:rPr>
                <w:rFonts w:eastAsia="Calibri" w:cs="Times New Roman" w:ascii="Calibri" w:hAnsi="Calibri"/>
                <w:spacing w:val="0"/>
                <w:kern w:val="0"/>
                <w:lang w:val="ru-RU" w:bidi="ar-SA"/>
              </w:rPr>
              <w:t>всего, в том числе</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41,157</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5.1</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коллекторным потребителям</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1,495</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5.2</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конечным сетевым потребителями</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39,662</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 xml:space="preserve">в том числе МУП « Калугатеплосеть» </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5,650</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6</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тепловой энергии в 2021г.</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47,92</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7</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тепловой энергии в 2022г.</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44,294</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8</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тепловой энергии в 2023г.</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43,502</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9</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тепловой энергии в 2024г.</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44,129</w:t>
            </w:r>
          </w:p>
        </w:tc>
      </w:tr>
      <w:tr>
        <w:trPr>
          <w:trHeight w:val="20" w:hRule="atLeast"/>
        </w:trPr>
        <w:tc>
          <w:tcPr>
            <w:tcW w:w="83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10</w:t>
            </w:r>
          </w:p>
        </w:tc>
        <w:tc>
          <w:tcPr>
            <w:tcW w:w="4522" w:type="dxa"/>
            <w:tcBorders/>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тепловой энергии в 2025г.</w:t>
            </w:r>
          </w:p>
        </w:tc>
        <w:tc>
          <w:tcPr>
            <w:tcW w:w="1281"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тыс. Гкал</w:t>
            </w:r>
          </w:p>
        </w:tc>
        <w:tc>
          <w:tcPr>
            <w:tcW w:w="845"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44,139</w:t>
            </w:r>
          </w:p>
        </w:tc>
      </w:tr>
    </w:tbl>
    <w:p>
      <w:pPr>
        <w:pStyle w:val="Normal"/>
        <w:ind w:firstLine="720"/>
        <w:rPr/>
      </w:pPr>
      <w:r>
        <w:rPr/>
        <w:t xml:space="preserve"> </w:t>
      </w:r>
    </w:p>
    <w:p>
      <w:pPr>
        <w:pStyle w:val="Normal"/>
        <w:spacing w:before="120" w:after="200"/>
        <w:ind w:hanging="0"/>
        <w:rPr>
          <w:b/>
          <w:bCs/>
          <w:sz w:val="18"/>
          <w:szCs w:val="18"/>
        </w:rPr>
      </w:pPr>
      <w:r>
        <w:rPr>
          <w:b/>
          <w:bCs/>
          <w:sz w:val="18"/>
          <w:szCs w:val="18"/>
        </w:rPr>
      </w:r>
      <w:bookmarkStart w:id="96" w:name="_Toc132971365"/>
      <w:bookmarkStart w:id="97" w:name="_Toc132971365"/>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6</w:t>
      </w:r>
      <w:r>
        <w:rPr>
          <w:sz w:val="18"/>
          <w:b/>
          <w:szCs w:val="18"/>
          <w:bCs/>
        </w:rPr>
        <w:fldChar w:fldCharType="end"/>
      </w:r>
      <w:r>
        <w:rPr>
          <w:b/>
          <w:bCs/>
          <w:sz w:val="18"/>
          <w:szCs w:val="18"/>
        </w:rPr>
        <w:t xml:space="preserve">. Отпуск теплоносителя энергии </w:t>
      </w:r>
      <w:bookmarkEnd w:id="97"/>
      <w:r>
        <w:rPr>
          <w:b/>
          <w:bCs/>
          <w:sz w:val="18"/>
          <w:szCs w:val="18"/>
        </w:rPr>
        <w:t>АО «КВАДРА» - «Калужская генерация»</w:t>
      </w:r>
    </w:p>
    <w:tbl>
      <w:tblPr>
        <w:tblStyle w:val="275"/>
        <w:tblW w:w="776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56"/>
        <w:gridCol w:w="4880"/>
        <w:gridCol w:w="1276"/>
        <w:gridCol w:w="850"/>
      </w:tblGrid>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w:t>
            </w:r>
            <w:r>
              <w:rPr>
                <w:rFonts w:eastAsia="Calibri" w:cs="Times New Roman" w:ascii="Calibri" w:hAnsi="Calibri"/>
                <w:spacing w:val="0"/>
                <w:kern w:val="0"/>
                <w:lang w:val="ru-RU" w:bidi="ar-SA"/>
              </w:rPr>
              <w:t>п/п</w:t>
            </w:r>
          </w:p>
        </w:tc>
        <w:tc>
          <w:tcPr>
            <w:tcW w:w="488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Показатели</w:t>
            </w:r>
          </w:p>
        </w:tc>
        <w:tc>
          <w:tcPr>
            <w:tcW w:w="127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Единицы измерения</w:t>
            </w:r>
          </w:p>
        </w:tc>
        <w:tc>
          <w:tcPr>
            <w:tcW w:w="850"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2026 год</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1</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Производство теплоносителя</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54,375</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2</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Расход теплоносителя на хозяйственные нужды</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46,810</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3</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Отпуск теплоносителя в сеть</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7,565</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4</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Нормативные потери при передаче теплоносителя</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7,565</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5</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Объем возвращенного теплоносителя</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0</w:t>
            </w:r>
          </w:p>
        </w:tc>
      </w:tr>
      <w:tr>
        <w:trPr/>
        <w:tc>
          <w:tcPr>
            <w:tcW w:w="756" w:type="dxa"/>
            <w:tcBorders/>
            <w:vAlign w:val="center"/>
          </w:tcPr>
          <w:p>
            <w:pPr>
              <w:pStyle w:val="Normal"/>
              <w:widowControl/>
              <w:spacing w:before="0" w:after="0"/>
              <w:ind w:hanging="0"/>
              <w:jc w:val="center"/>
              <w:textAlignment w:val="auto"/>
              <w:rPr>
                <w:rFonts w:ascii="Calibri" w:hAnsi="Calibri" w:eastAsia="Calibri"/>
                <w:spacing w:val="0"/>
              </w:rPr>
            </w:pPr>
            <w:r>
              <w:rPr>
                <w:rFonts w:eastAsia="Calibri" w:cs="Times New Roman" w:ascii="Calibri" w:hAnsi="Calibri"/>
                <w:spacing w:val="0"/>
                <w:kern w:val="0"/>
                <w:lang w:val="ru-RU" w:bidi="ar-SA"/>
              </w:rPr>
              <w:t>6</w:t>
            </w:r>
          </w:p>
        </w:tc>
        <w:tc>
          <w:tcPr>
            <w:tcW w:w="4880" w:type="dxa"/>
            <w:tcBorders/>
            <w:vAlign w:val="center"/>
          </w:tcPr>
          <w:p>
            <w:pPr>
              <w:pStyle w:val="Normal"/>
              <w:widowControl/>
              <w:spacing w:before="0" w:after="0"/>
              <w:ind w:hanging="0"/>
              <w:jc w:val="left"/>
              <w:textAlignment w:val="auto"/>
              <w:rPr>
                <w:rFonts w:ascii="Calibri" w:hAnsi="Calibri" w:eastAsia="Calibri"/>
                <w:spacing w:val="0"/>
              </w:rPr>
            </w:pPr>
            <w:r>
              <w:rPr>
                <w:rFonts w:eastAsia="Calibri" w:cs="Times New Roman" w:ascii="Calibri" w:hAnsi="Calibri"/>
                <w:spacing w:val="0"/>
                <w:kern w:val="0"/>
                <w:lang w:val="ru-RU" w:bidi="ar-SA"/>
              </w:rPr>
              <w:t>Полезный отпуск теплоносителя потребителям</w:t>
            </w:r>
          </w:p>
        </w:tc>
        <w:tc>
          <w:tcPr>
            <w:tcW w:w="1276" w:type="dxa"/>
            <w:tcBorders/>
            <w:vAlign w:val="center"/>
          </w:tcPr>
          <w:p>
            <w:pPr>
              <w:pStyle w:val="Normal"/>
              <w:widowControl/>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lang w:val="ru-RU" w:bidi="ar-SA"/>
              </w:rPr>
              <w:t>тыс.м</w:t>
            </w:r>
            <w:r>
              <w:rPr>
                <w:rFonts w:eastAsia="Calibri" w:cs="Times New Roman" w:ascii="Calibri" w:hAnsi="Calibri"/>
                <w:spacing w:val="0"/>
                <w:kern w:val="0"/>
                <w:vertAlign w:val="superscript"/>
                <w:lang w:val="ru-RU" w:bidi="ar-SA"/>
              </w:rPr>
              <w:t>3</w:t>
            </w:r>
          </w:p>
        </w:tc>
        <w:tc>
          <w:tcPr>
            <w:tcW w:w="850" w:type="dxa"/>
            <w:tcBorders/>
          </w:tcPr>
          <w:p>
            <w:pPr>
              <w:pStyle w:val="Normal"/>
              <w:widowControl/>
              <w:spacing w:before="0" w:after="0"/>
              <w:ind w:hanging="0"/>
              <w:jc w:val="center"/>
              <w:textAlignment w:val="auto"/>
              <w:rPr>
                <w:rFonts w:ascii="Calibri" w:hAnsi="Calibri" w:eastAsia="Times New Roman"/>
                <w:color w:val="000000"/>
                <w:spacing w:val="0"/>
                <w:lang w:eastAsia="ru-RU"/>
              </w:rPr>
            </w:pPr>
            <w:r>
              <w:rPr>
                <w:rFonts w:eastAsia="Times New Roman" w:cs="Times New Roman" w:ascii="Calibri" w:hAnsi="Calibri"/>
                <w:color w:val="000000"/>
                <w:spacing w:val="0"/>
                <w:kern w:val="0"/>
                <w:lang w:val="ru-RU" w:eastAsia="ru-RU" w:bidi="ar-SA"/>
              </w:rPr>
              <w:t>0</w:t>
            </w:r>
          </w:p>
        </w:tc>
      </w:tr>
    </w:tbl>
    <w:p>
      <w:pPr>
        <w:pStyle w:val="Normal"/>
        <w:spacing w:lineRule="auto" w:line="360"/>
        <w:jc w:val="left"/>
        <w:rPr>
          <w:sz w:val="28"/>
          <w:szCs w:val="28"/>
        </w:rPr>
      </w:pPr>
      <w:r>
        <w:rPr>
          <w:sz w:val="28"/>
          <w:szCs w:val="28"/>
        </w:rPr>
      </w:r>
      <w:r>
        <w:br w:type="page"/>
      </w:r>
    </w:p>
    <w:p>
      <w:pPr>
        <w:pStyle w:val="Heading1"/>
        <w:numPr>
          <w:ilvl w:val="0"/>
          <w:numId w:val="0"/>
        </w:numPr>
        <w:spacing w:before="0" w:after="120"/>
        <w:ind w:hanging="0" w:left="0"/>
        <w:jc w:val="center"/>
        <w:rPr/>
      </w:pPr>
      <w:bookmarkStart w:id="98" w:name="_Toc132981670"/>
      <w:r>
        <w:rPr/>
        <w:t>Раздел 2. Существующие и Перспективные балансы тепловой мощности источников тепловой энергии и тепловой нагрузки потребителей</w:t>
      </w:r>
      <w:bookmarkEnd w:id="98"/>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Перспективные балансы тепловой мощности источников тепловой энергии и тепловой нагрузки потребителей приведены в Главе</w:t>
      </w:r>
      <w:r>
        <w:rPr>
          <w:rFonts w:cs="Arial"/>
          <w:sz w:val="24"/>
          <w:szCs w:val="24"/>
        </w:rPr>
        <w:t xml:space="preserve"> 4 «Перспективные балансы тепловой мощности источников тепловой энергии и тепловой нагрузки» Обосновывающих материалов к схеме теплоснабжения муниципального образования «Город Калуга» до 2028 года (шифр 29401.ОМ-ПСТ.004.000).</w:t>
      </w:r>
    </w:p>
    <w:p>
      <w:pPr>
        <w:pStyle w:val="Normal"/>
        <w:rPr/>
      </w:pPr>
      <w:r>
        <w:rPr/>
      </w:r>
    </w:p>
    <w:p>
      <w:pPr>
        <w:pStyle w:val="Heading2"/>
        <w:numPr>
          <w:ilvl w:val="1"/>
          <w:numId w:val="29"/>
        </w:numPr>
        <w:ind w:hanging="0" w:left="0"/>
        <w:jc w:val="center"/>
        <w:rPr/>
      </w:pPr>
      <w:bookmarkStart w:id="99" w:name="_Toc132981671"/>
      <w:bookmarkStart w:id="100" w:name="_Toc328492812"/>
      <w:r>
        <w:rPr/>
        <w:t>Радиусы эффективного теплоснабжения базовых теплоисточников</w:t>
      </w:r>
      <w:bookmarkEnd w:id="99"/>
      <w:bookmarkEnd w:id="100"/>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spacing w:lineRule="auto" w:line="360"/>
        <w:rPr>
          <w:rFonts w:eastAsia="Arial" w:cs="Arial"/>
          <w:spacing w:val="-4"/>
          <w:sz w:val="24"/>
          <w:szCs w:val="24"/>
        </w:rPr>
      </w:pPr>
      <w:r>
        <w:rPr>
          <w:rFonts w:eastAsia="Arial" w:cs="Arial"/>
          <w:spacing w:val="-4"/>
          <w:sz w:val="24"/>
          <w:szCs w:val="24"/>
        </w:rPr>
        <w:t>Перспективные радиусы эффективного теплоснабжения базовых теплоисточников определены для всех рассматриваемых пятилетних периодов с учетом приростов тепловой нагрузки и расширения зон действия источников тепловой энергии. Результаты расчетов представлены в таблице 2.1.</w:t>
      </w:r>
    </w:p>
    <w:p>
      <w:pPr>
        <w:pStyle w:val="Normal"/>
        <w:spacing w:lineRule="auto" w:line="360"/>
        <w:rPr>
          <w:rFonts w:eastAsia="Arial" w:cs="Arial"/>
          <w:spacing w:val="-4"/>
          <w:sz w:val="24"/>
          <w:szCs w:val="24"/>
        </w:rPr>
      </w:pPr>
      <w:r>
        <w:rPr>
          <w:rFonts w:eastAsia="Arial" w:cs="Arial"/>
          <w:spacing w:val="-4"/>
          <w:sz w:val="24"/>
          <w:szCs w:val="24"/>
        </w:rPr>
      </w:r>
    </w:p>
    <w:p>
      <w:pPr>
        <w:pStyle w:val="Normal"/>
        <w:ind w:hanging="0"/>
        <w:rPr>
          <w:b/>
          <w:bCs/>
          <w:color w:themeColor="text1" w:val="000000"/>
          <w:sz w:val="18"/>
          <w:szCs w:val="18"/>
        </w:rPr>
      </w:pPr>
      <w:bookmarkStart w:id="101" w:name="_Toc132971366"/>
      <w:r>
        <w:rPr>
          <w:b/>
          <w:bCs/>
          <w:color w:themeColor="text1" w:val="000000"/>
          <w:sz w:val="18"/>
          <w:szCs w:val="18"/>
        </w:rPr>
        <w:t>Таблица 2.</w:t>
      </w:r>
      <w:r>
        <w:rPr>
          <w:b/>
          <w:bCs/>
          <w:color w:themeColor="text1" w:val="000000"/>
          <w:sz w:val="18"/>
          <w:szCs w:val="18"/>
        </w:rPr>
        <w:fldChar w:fldCharType="begin"/>
      </w:r>
      <w:r>
        <w:rPr>
          <w:sz w:val="18"/>
          <w:b/>
          <w:szCs w:val="18"/>
          <w:bCs/>
          <w:color w:themeColor="text1" w:val="000000"/>
        </w:rPr>
        <w:instrText xml:space="preserve"> SEQ Таблица \* ARABIC </w:instrText>
      </w:r>
      <w:r>
        <w:rPr>
          <w:sz w:val="18"/>
          <w:b/>
          <w:szCs w:val="18"/>
          <w:bCs/>
          <w:color w:themeColor="text1" w:val="000000"/>
        </w:rPr>
        <w:fldChar w:fldCharType="separate"/>
      </w:r>
      <w:r>
        <w:rPr>
          <w:sz w:val="18"/>
          <w:b/>
          <w:szCs w:val="18"/>
          <w:bCs/>
          <w:color w:themeColor="text1" w:val="000000"/>
        </w:rPr>
        <w:t>1</w:t>
      </w:r>
      <w:r>
        <w:rPr>
          <w:sz w:val="18"/>
          <w:b/>
          <w:szCs w:val="18"/>
          <w:bCs/>
          <w:color w:themeColor="text1" w:val="000000"/>
        </w:rPr>
        <w:fldChar w:fldCharType="end"/>
      </w:r>
      <w:r>
        <w:rPr>
          <w:b/>
          <w:bCs/>
          <w:color w:themeColor="text1" w:val="000000"/>
          <w:sz w:val="18"/>
          <w:szCs w:val="18"/>
        </w:rPr>
        <w:t>– Перспективный радиус эффективного теплоснабжения, км</w:t>
      </w:r>
      <w:bookmarkEnd w:id="101"/>
    </w:p>
    <w:tbl>
      <w:tblPr>
        <w:tblW w:w="8587" w:type="dxa"/>
        <w:jc w:val="left"/>
        <w:tblInd w:w="-318" w:type="dxa"/>
        <w:tblLayout w:type="fixed"/>
        <w:tblCellMar>
          <w:top w:w="0" w:type="dxa"/>
          <w:left w:w="108" w:type="dxa"/>
          <w:bottom w:w="0" w:type="dxa"/>
          <w:right w:w="108" w:type="dxa"/>
        </w:tblCellMar>
        <w:tblLook w:firstRow="1" w:noVBand="1" w:lastRow="0" w:firstColumn="1" w:lastColumn="0" w:noHBand="0" w:val="04a0"/>
      </w:tblPr>
      <w:tblGrid>
        <w:gridCol w:w="3877"/>
        <w:gridCol w:w="942"/>
        <w:gridCol w:w="942"/>
        <w:gridCol w:w="942"/>
        <w:gridCol w:w="942"/>
        <w:gridCol w:w="941"/>
      </w:tblGrid>
      <w:tr>
        <w:trPr>
          <w:tblHeader w:val="true"/>
          <w:trHeight w:val="2354"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Наименование котельной</w:t>
            </w:r>
          </w:p>
        </w:tc>
        <w:tc>
          <w:tcPr>
            <w:tcW w:w="3768"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Оптимальный радиус</w:t>
            </w:r>
          </w:p>
        </w:tc>
        <w:tc>
          <w:tcPr>
            <w:tcW w:w="941" w:type="dxa"/>
            <w:tcBorders>
              <w:top w:val="single" w:sz="4" w:space="0" w:color="000000"/>
              <w:bottom w:val="single" w:sz="4" w:space="0" w:color="000000"/>
              <w:right w:val="single" w:sz="4" w:space="0" w:color="000000"/>
            </w:tcBorders>
            <w:shd w:color="auto" w:fill="auto" w:val="clear"/>
            <w:textDirection w:val="btL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Предельный радиус теплоснабжения</w:t>
            </w:r>
          </w:p>
        </w:tc>
      </w:tr>
      <w:tr>
        <w:trPr>
          <w:tblHeader w:val="true"/>
          <w:trHeight w:val="984" w:hRule="atLeast"/>
        </w:trPr>
        <w:tc>
          <w:tcPr>
            <w:tcW w:w="3877" w:type="dxa"/>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 </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2011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2018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2023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2028</w:t>
            </w:r>
          </w:p>
        </w:tc>
        <w:tc>
          <w:tcPr>
            <w:tcW w:w="941" w:type="dxa"/>
            <w:tcBorders>
              <w:bottom w:val="single" w:sz="4" w:space="0" w:color="000000"/>
              <w:right w:val="single" w:sz="4" w:space="0" w:color="000000"/>
            </w:tcBorders>
            <w:shd w:color="auto" w:fill="auto" w:val="clear"/>
            <w:textDirection w:val="btL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 </w:t>
            </w:r>
          </w:p>
        </w:tc>
      </w:tr>
      <w:tr>
        <w:trPr>
          <w:tblHeader w:val="true"/>
          <w:trHeight w:val="300"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Единицы измерения</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км</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км</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км</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км</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lang w:eastAsia="ru-RU"/>
              </w:rPr>
            </w:pPr>
            <w:r>
              <w:rPr>
                <w:rFonts w:eastAsia="Times New Roman" w:ascii="Times New Roman" w:hAnsi="Times New Roman"/>
                <w:b/>
                <w:bCs/>
                <w:color w:val="000000"/>
                <w:spacing w:val="0"/>
                <w:lang w:eastAsia="ru-RU"/>
              </w:rPr>
              <w:t>км</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В_Восстания, 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Пр. 1-й Академический, 29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4,8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 xml:space="preserve">АО «Азимут» </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3,2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3,2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3,2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3,2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3,2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Чичерина, 23а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ТЭЦ  «Квадра»-«Калужская генерация»</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6,0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6,2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6,2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6,2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6,0</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ул.Гвардейская,15а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Вишневского,3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б. Энтузиастов, 6б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ул.Грабц.Шоссе, 174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пл. Победы, 9а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Котельная Калугапутьмаш</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Кутузова, 4а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ул.Кирова, 67а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ул.Московская, 115а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 Жукова, 40а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ул.Пестеля, 32б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Вишневского,1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 Шоссе,35д</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ул.Московская, 31а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Байконурская,11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В.Андриановой, 64а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Пролетарская, 125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ул.Московская, 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ул.Советская, 20в</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ул.Шахтеров, 3а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Тарутинская, 231а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пер.2-ой Тульский, 5 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ул.Мичурина, 9в</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Никитина, 95б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 Воскресенский, 2б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Чечерина,11а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ул.Хрустальная, 18а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ул.Чижевского, 12а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Пухова, 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 Росва, ул. Московская,9а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65лет Победы, 51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ул.Кропоткина, 4а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Московская, 317а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1,0</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Грабцевское Ш. 77а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Маяковского, 35а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Тульская, 78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ул.Болотникова ,29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д.Шопино</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Новослободская, 25а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Аэропортовская в/ч</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ул.Маяковского, 59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ул.Новая Стройка, 1а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д.Колюпаново, 15а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Беговая, 15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Театральная, 4г</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0,3</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ул.Тарутинская, 171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Новая, 41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ул.Кожедуба,11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 xml:space="preserve"> </w:t>
            </w:r>
            <w:r>
              <w:rPr>
                <w:rFonts w:eastAsia="Times New Roman" w:cs="Arial"/>
                <w:color w:val="000000"/>
                <w:spacing w:val="0"/>
                <w:lang w:eastAsia="ru-RU"/>
              </w:rPr>
              <w:t>ул.Ленина, 26а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Фридриха Энгельса, 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2"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s="Calibri"/>
                <w:color w:val="000000"/>
                <w:spacing w:val="0"/>
                <w:lang w:eastAsia="ru-RU"/>
              </w:rPr>
            </w:pPr>
            <w:r>
              <w:rPr>
                <w:rFonts w:eastAsia="Times New Roman" w:cs="Calibri" w:ascii="Calibri" w:hAnsi="Calibri"/>
                <w:color w:val="000000"/>
                <w:spacing w:val="0"/>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Калуга бор, 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Тульское шоссе, 28а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Муратовский щебзавод, 19а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ул.Телевизионная, 2б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Московская, 299в</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Одоевское шоссе,5а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Ромодановские Дворики,55</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Взлётная, 46</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гр.Шоссе, 22б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Подвойского, 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Калуга-бор, 15а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Калужка, 6а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Широкая, 51б</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ул.Ленина, 60а</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ул.Баррикад, 181</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д.Лихун</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0,8</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д.Пучково</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0,5</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Дорожная, 25</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Полесская, 3</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пер.Ю. Круглова, 3</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r>
      <w:tr>
        <w:trPr>
          <w:trHeight w:val="314"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Ромодановские Дворики,61</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Грабцевское шоссе, 115а</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2,22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2,22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2,22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пер.Малинники, 21</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4,2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4,2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4,2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Грабцевское шоссе, 115 стр.21</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0,21</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0,21</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0,21</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cs="Arial"/>
                <w:sz w:val="24"/>
                <w:szCs w:val="24"/>
              </w:rPr>
              <w:t>Ул. Маяковского, 29А</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cs="Arial"/>
                <w:sz w:val="24"/>
                <w:szCs w:val="24"/>
              </w:rPr>
              <w:t>Ул. Пухова, 56</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cs="Arial"/>
                <w:sz w:val="24"/>
                <w:szCs w:val="24"/>
              </w:rPr>
              <w:t>Ул. Кубяка, д.9.к.6</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Ермоловская, 96</w:t>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r>
          </w:p>
        </w:tc>
        <w:tc>
          <w:tcPr>
            <w:tcW w:w="94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0,3</w:t>
            </w:r>
          </w:p>
        </w:tc>
        <w:tc>
          <w:tcPr>
            <w:tcW w:w="94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0,3</w:t>
            </w:r>
          </w:p>
        </w:tc>
      </w:tr>
    </w:tbl>
    <w:p>
      <w:pPr>
        <w:pStyle w:val="Normal"/>
        <w:widowControl/>
        <w:spacing w:lineRule="auto" w:line="360" w:before="0" w:after="0"/>
        <w:ind w:hanging="0"/>
        <w:contextualSpacing/>
        <w:textAlignment w:val="auto"/>
        <w:rPr>
          <w:rFonts w:ascii="Times New Roman" w:hAnsi="Times New Roman" w:eastAsia="Calibri"/>
          <w:spacing w:val="0"/>
          <w:sz w:val="28"/>
        </w:rPr>
      </w:pPr>
      <w:r>
        <w:rPr>
          <w:rFonts w:eastAsia="Calibri" w:ascii="Times New Roman" w:hAnsi="Times New Roman"/>
          <w:spacing w:val="0"/>
          <w:sz w:val="28"/>
        </w:rPr>
      </w:r>
    </w:p>
    <w:p>
      <w:pPr>
        <w:pStyle w:val="Normal"/>
        <w:spacing w:lineRule="auto" w:line="360"/>
        <w:rPr>
          <w:rFonts w:eastAsia="Arial" w:cs="Arial"/>
          <w:spacing w:val="-4"/>
          <w:sz w:val="24"/>
          <w:szCs w:val="24"/>
        </w:rPr>
      </w:pPr>
      <w:r>
        <w:rPr>
          <w:rFonts w:eastAsia="Arial" w:cs="Arial"/>
          <w:spacing w:val="-4"/>
          <w:sz w:val="24"/>
          <w:szCs w:val="24"/>
        </w:rPr>
        <w:t>Изменения эффективного радиуса теплоснабжения в основном связаны с приростом тепловой нагрузки 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тепловой энергии).</w:t>
      </w:r>
    </w:p>
    <w:p>
      <w:pPr>
        <w:pStyle w:val="Normal"/>
        <w:spacing w:lineRule="auto" w:line="360"/>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pPr>
        <w:pStyle w:val="Normal"/>
        <w:spacing w:lineRule="auto" w:line="340" w:before="32" w:after="0"/>
        <w:ind w:firstLine="567" w:right="45"/>
        <w:rPr>
          <w:rFonts w:eastAsia="Arial" w:cs="Arial"/>
          <w:spacing w:val="-4"/>
        </w:rPr>
      </w:pPr>
      <w:r>
        <w:rPr>
          <w:rFonts w:eastAsia="Arial" w:cs="Arial"/>
          <w:spacing w:val="-4"/>
        </w:rPr>
      </w:r>
    </w:p>
    <w:p>
      <w:pPr>
        <w:pStyle w:val="Heading2"/>
        <w:numPr>
          <w:ilvl w:val="1"/>
          <w:numId w:val="29"/>
        </w:numPr>
        <w:ind w:hanging="0" w:left="0"/>
        <w:jc w:val="center"/>
        <w:rPr/>
      </w:pPr>
      <w:r>
        <w:rPr/>
        <w:t xml:space="preserve"> </w:t>
      </w:r>
      <w:bookmarkStart w:id="102" w:name="_Toc132981672"/>
      <w:r>
        <w:rPr/>
        <w:t>Описание существующих и перспективных зон действия систем теплоснабжения</w:t>
      </w:r>
      <w:bookmarkEnd w:id="102"/>
    </w:p>
    <w:p>
      <w:pPr>
        <w:pStyle w:val="Normal"/>
        <w:rPr/>
      </w:pPr>
      <w:r>
        <w:rPr/>
      </w:r>
    </w:p>
    <w:p>
      <w:pPr>
        <w:pStyle w:val="Normal"/>
        <w:spacing w:lineRule="auto" w:line="360"/>
        <w:rPr>
          <w:rFonts w:eastAsia="Times New Roman" w:cs="Arial"/>
          <w:color w:val="000000"/>
          <w:spacing w:val="0"/>
          <w:sz w:val="24"/>
          <w:szCs w:val="24"/>
          <w:lang w:eastAsia="ru-RU"/>
        </w:rPr>
      </w:pPr>
      <w:r>
        <w:rPr>
          <w:sz w:val="24"/>
        </w:rPr>
        <w:t>Существующие зоны действия источников тепловой энергии представлены в графической части схемы теплоснабжения, а именно в Приложении 1 к Главе 1 «</w:t>
      </w:r>
      <w:r>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 Изменение зон действия на перспективу прогнозируется в связи с приростами тепловых нагрузок на источники тепловой энергии вне зон действия этих источников, а также по причине реализации мероприятий по выводу ряда источников теплоснабжения из эксплуатации и перевода их тепловых нагрузок на смежные теплоисточники.</w:t>
      </w:r>
    </w:p>
    <w:p>
      <w:pPr>
        <w:pStyle w:val="Normal"/>
        <w:spacing w:lineRule="auto" w:line="360"/>
        <w:rPr>
          <w:sz w:val="24"/>
        </w:rPr>
      </w:pPr>
      <w:r>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pPr>
        <w:pStyle w:val="Normal"/>
        <w:spacing w:lineRule="auto" w:line="360"/>
        <w:rPr>
          <w:rFonts w:cs="Arial"/>
          <w:sz w:val="24"/>
          <w:szCs w:val="24"/>
        </w:rPr>
      </w:pPr>
      <w:r>
        <w:rPr>
          <w:rFonts w:cs="Arial"/>
          <w:sz w:val="24"/>
          <w:szCs w:val="24"/>
        </w:rPr>
        <w:t>Месторасположение каждого из предлагаемых к строительству источников приведено на рисунках 2.1 – 2.3.</w:t>
      </w:r>
    </w:p>
    <w:p>
      <w:pPr>
        <w:pStyle w:val="Normal"/>
        <w:spacing w:lineRule="auto" w:line="360"/>
        <w:rPr>
          <w:rFonts w:cs="Arial"/>
          <w:sz w:val="24"/>
          <w:szCs w:val="24"/>
        </w:rPr>
      </w:pPr>
      <w:r>
        <w:rPr>
          <w:rFonts w:cs="Arial"/>
          <w:sz w:val="24"/>
          <w:szCs w:val="24"/>
        </w:rPr>
        <w:t>Зоны действия новых теплоисточников указаны в Приложении 1 Главы 6 (Графическая часть) Обосновывающих материалов.</w:t>
      </w:r>
    </w:p>
    <w:p>
      <w:pPr>
        <w:pStyle w:val="Normal"/>
        <w:spacing w:lineRule="auto" w:line="360"/>
        <w:ind w:hanging="0"/>
        <w:rPr>
          <w:rFonts w:cs="Arial"/>
          <w:b/>
          <w:bCs/>
          <w:sz w:val="24"/>
          <w:szCs w:val="24"/>
        </w:rPr>
      </w:pPr>
      <w:r>
        <w:rPr/>
        <mc:AlternateContent>
          <mc:Choice Requires="wpg">
            <w:drawing>
              <wp:anchor behindDoc="0" distT="10795" distB="0" distL="0" distR="1270" simplePos="0" locked="0" layoutInCell="1" allowOverlap="1" relativeHeight="55" wp14:anchorId="2C9D7263">
                <wp:simplePos x="0" y="0"/>
                <wp:positionH relativeFrom="column">
                  <wp:posOffset>3361055</wp:posOffset>
                </wp:positionH>
                <wp:positionV relativeFrom="paragraph">
                  <wp:posOffset>2258695</wp:posOffset>
                </wp:positionV>
                <wp:extent cx="2457450" cy="799465"/>
                <wp:effectExtent l="0" t="5715" r="0" b="0"/>
                <wp:wrapNone/>
                <wp:docPr id="10" name="Группа 48"/>
                <a:graphic xmlns:a="http://schemas.openxmlformats.org/drawingml/2006/main">
                  <a:graphicData uri="http://schemas.microsoft.com/office/word/2010/wordprocessingGroup">
                    <wpg:wgp>
                      <wpg:cNvGrpSpPr/>
                      <wpg:grpSpPr>
                        <a:xfrm>
                          <a:off x="0" y="0"/>
                          <a:ext cx="2457360" cy="799560"/>
                          <a:chOff x="0" y="0"/>
                          <a:chExt cx="2457360" cy="799560"/>
                        </a:xfrm>
                      </wpg:grpSpPr>
                      <wps:wsp>
                        <wps:cNvPr id="11" name="Text Box 4"/>
                        <wps:cNvSpPr/>
                        <wps:spPr>
                          <a:xfrm>
                            <a:off x="0" y="340200"/>
                            <a:ext cx="2457360" cy="459000"/>
                          </a:xfrm>
                          <a:prstGeom prst="rect">
                            <a:avLst/>
                          </a:prstGeom>
                          <a:noFill/>
                          <a:ln w="0">
                            <a:noFill/>
                          </a:ln>
                        </wps:spPr>
                        <wps:style>
                          <a:lnRef idx="0"/>
                          <a:fillRef idx="0"/>
                          <a:effectRef idx="0"/>
                          <a:fontRef idx="minor"/>
                        </wps:style>
                        <wps:txbx>
                          <w:txbxContent>
                            <w:p>
                              <w:pPr>
                                <w:pStyle w:val="Normal"/>
                                <w:spacing w:before="120" w:after="120"/>
                                <w:rPr>
                                  <w:b/>
                                  <w:sz w:val="32"/>
                                </w:rPr>
                              </w:pPr>
                              <w:r>
                                <w:rPr>
                                  <w:b/>
                                  <w:sz w:val="32"/>
                                </w:rPr>
                                <w:t>Новый источник</w:t>
                              </w:r>
                            </w:p>
                          </w:txbxContent>
                        </wps:txbx>
                        <wps:bodyPr anchor="t">
                          <a:noAutofit/>
                        </wps:bodyPr>
                      </wps:wsp>
                      <wpg:grpSp>
                        <wpg:cNvGrpSpPr/>
                        <wpg:grpSpPr>
                          <a:xfrm>
                            <a:off x="1851120" y="0"/>
                            <a:ext cx="224640" cy="339840"/>
                          </a:xfrm>
                        </wpg:grpSpPr>
                        <wps:wsp>
                          <wps:cNvPr id="12" name="AutoShape 6"/>
                          <wps:cNvSpPr/>
                          <wps:spPr>
                            <a:xfrm>
                              <a:off x="0" y="117360"/>
                              <a:ext cx="179640" cy="222120"/>
                            </a:xfrm>
                            <a:prstGeom prst="triangle">
                              <a:avLst>
                                <a:gd name="adj" fmla="val 50000"/>
                              </a:avLst>
                            </a:prstGeom>
                            <a:solidFill>
                              <a:srgbClr val="ff0000"/>
                            </a:solidFill>
                            <a:ln w="9525">
                              <a:solidFill>
                                <a:srgbClr val="000000"/>
                              </a:solidFill>
                              <a:miter/>
                            </a:ln>
                          </wps:spPr>
                          <wps:style>
                            <a:lnRef idx="0"/>
                            <a:fillRef idx="0"/>
                            <a:effectRef idx="0"/>
                            <a:fontRef idx="minor"/>
                          </wps:style>
                          <wps:bodyPr/>
                        </wps:wsp>
                        <wps:wsp>
                          <wps:cNvPr id="13" name="Rectangle 7"/>
                          <wps:cNvSpPr/>
                          <wps:spPr>
                            <a:xfrm>
                              <a:off x="180360" y="0"/>
                              <a:ext cx="44280" cy="339840"/>
                            </a:xfrm>
                            <a:prstGeom prst="rect">
                              <a:avLst/>
                            </a:prstGeom>
                            <a:solidFill>
                              <a:srgbClr val="ff0000"/>
                            </a:solidFill>
                            <a:ln w="9525">
                              <a:solidFill>
                                <a:srgbClr val="000000"/>
                              </a:solidFill>
                              <a:miter/>
                            </a:ln>
                          </wps:spPr>
                          <wps:style>
                            <a:lnRef idx="0"/>
                            <a:fillRef idx="0"/>
                            <a:effectRef idx="0"/>
                            <a:fontRef idx="minor"/>
                          </wps:style>
                          <wps:bodyPr/>
                        </wps:wsp>
                      </wpg:grpSp>
                    </wpg:wgp>
                  </a:graphicData>
                </a:graphic>
              </wp:anchor>
            </w:drawing>
          </mc:Choice>
          <mc:Fallback>
            <w:pict>
              <v:group id="shape_0" alt="Группа 48" style="position:absolute;margin-left:264.65pt;margin-top:177.85pt;width:193.5pt;height:62.95pt" coordorigin="5293,3557" coordsize="3870,1259">
                <v:rect id="shape_0" ID="Text Box 4" path="m0,0l-2147483645,0l-2147483645,-2147483646l0,-2147483646xe" stroked="f" o:allowincell="f" style="position:absolute;left:5293;top:4093;width:3869;height:722;mso-wrap-style:square;v-text-anchor:top">
                  <v:fill o:detectmouseclick="t" on="false"/>
                  <v:stroke color="#3465a4" joinstyle="round" endcap="flat"/>
                  <v:textbox>
                    <w:txbxContent>
                      <w:p>
                        <w:pPr>
                          <w:pStyle w:val="Normal"/>
                          <w:spacing w:before="120" w:after="120"/>
                          <w:rPr>
                            <w:b/>
                            <w:sz w:val="32"/>
                          </w:rPr>
                        </w:pPr>
                        <w:r>
                          <w:rPr>
                            <w:b/>
                            <w:sz w:val="32"/>
                          </w:rPr>
                          <w:t>Новый источник</w:t>
                        </w:r>
                      </w:p>
                    </w:txbxContent>
                  </v:textbox>
                  <w10:wrap type="none"/>
                </v:rect>
                <v:group id="shape_0" style="position:absolute;left:8208;top:3557;width:354;height:535">
                  <v:shapetype id="_x0000_t5" coordsize="21600,21600" o:spt="5" adj="10800" path="m,21600l@0,l21600,21600xe">
                    <v:stroke joinstyle="miter"/>
                    <v:formulas>
                      <v:f eqn="val #0"/>
                      <v:f eqn="prod 1 @0 2"/>
                      <v:f eqn="sum @1 10800 0"/>
                    </v:formulas>
                    <v:path gradientshapeok="t" o:connecttype="rect" textboxrect="@1,10800,@2,21600"/>
                    <v:handles>
                      <v:h position="@0,0"/>
                    </v:handles>
                  </v:shapetype>
                  <v:shape id="shape_0" ID="AutoShape 6" path="l-2147483641,0l-2147483635,-2147483636xe" fillcolor="red" stroked="t" o:allowincell="f" style="position:absolute;left:8208;top:3742;width:282;height:349;mso-wrap-style:none;v-text-anchor:middle" type="_x0000_t5">
                    <v:fill o:detectmouseclick="t" type="solid" color2="aqua"/>
                    <v:stroke color="black" weight="9360" joinstyle="miter" endcap="flat"/>
                    <w10:wrap type="none"/>
                  </v:shape>
                  <v:rect id="shape_0" ID="Rectangle 7" path="m0,0l-2147483645,0l-2147483645,-2147483646l0,-2147483646xe" fillcolor="red" stroked="t" o:allowincell="f" style="position:absolute;left:8492;top:3557;width:69;height:534;mso-wrap-style:none;v-text-anchor:middle">
                    <v:fill o:detectmouseclick="t" type="solid" color2="aqua"/>
                    <v:stroke color="black" weight="9360" joinstyle="miter" endcap="flat"/>
                    <w10:wrap type="none"/>
                  </v:rect>
                </v:group>
              </v:group>
            </w:pict>
          </mc:Fallback>
        </mc:AlternateContent>
        <w:drawing>
          <wp:inline distT="0" distB="0" distL="0" distR="0">
            <wp:extent cx="5760720" cy="4312285"/>
            <wp:effectExtent l="0" t="0" r="0" b="0"/>
            <wp:docPr id="14" name="Рисунок 737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3736" descr=""/>
                    <pic:cNvPicPr>
                      <a:picLocks noChangeAspect="1" noChangeArrowheads="1"/>
                    </pic:cNvPicPr>
                  </pic:nvPicPr>
                  <pic:blipFill>
                    <a:blip r:embed="rId32"/>
                    <a:stretch>
                      <a:fillRect/>
                    </a:stretch>
                  </pic:blipFill>
                  <pic:spPr bwMode="auto">
                    <a:xfrm>
                      <a:off x="0" y="0"/>
                      <a:ext cx="5760720" cy="4312285"/>
                    </a:xfrm>
                    <a:prstGeom prst="rect">
                      <a:avLst/>
                    </a:prstGeom>
                    <a:noFill/>
                  </pic:spPr>
                </pic:pic>
              </a:graphicData>
            </a:graphic>
          </wp:inline>
        </w:drawing>
      </w:r>
    </w:p>
    <w:p>
      <w:pPr>
        <w:pStyle w:val="user1"/>
        <w:rPr/>
      </w:pPr>
      <w:bookmarkStart w:id="103" w:name="_Toc71274678"/>
      <w:bookmarkStart w:id="104" w:name="_Toc374356169"/>
      <w:r>
        <w:rPr/>
        <w:t>Рисунок 2.</w:t>
      </w:r>
      <w:r>
        <w:rPr/>
        <w:fldChar w:fldCharType="begin"/>
      </w:r>
      <w:r>
        <w:rPr/>
        <w:instrText xml:space="preserve"> SEQ Рисунок \* ARABIC </w:instrText>
      </w:r>
      <w:r>
        <w:rPr/>
        <w:fldChar w:fldCharType="separate"/>
      </w:r>
      <w:r>
        <w:rPr/>
        <w:t>1</w:t>
      </w:r>
      <w:r>
        <w:rPr/>
        <w:fldChar w:fldCharType="end"/>
      </w:r>
      <w:r>
        <w:rPr/>
        <w:t>. Месторасположение предлагаемой к строительству котельной (НИ-1)</w:t>
      </w:r>
      <w:bookmarkEnd w:id="103"/>
      <w:bookmarkEnd w:id="104"/>
    </w:p>
    <w:p>
      <w:pPr>
        <w:pStyle w:val="Normal"/>
        <w:spacing w:lineRule="auto" w:line="360"/>
        <w:ind w:hanging="0"/>
        <w:rPr>
          <w:rFonts w:cs="Arial"/>
          <w:b/>
          <w:bCs/>
          <w:sz w:val="24"/>
          <w:szCs w:val="24"/>
        </w:rPr>
      </w:pPr>
      <w:r>
        <w:rPr>
          <w:rFonts w:cs="Arial"/>
          <w:b/>
          <w:bCs/>
          <w:sz w:val="24"/>
          <w:szCs w:val="24"/>
        </w:rPr>
      </w:r>
    </w:p>
    <w:p>
      <w:pPr>
        <w:pStyle w:val="Normal"/>
        <w:spacing w:lineRule="auto" w:line="360"/>
        <w:ind w:hanging="0"/>
        <w:rPr>
          <w:rFonts w:cs="Arial"/>
          <w:b/>
          <w:bCs/>
          <w:sz w:val="24"/>
          <w:szCs w:val="24"/>
        </w:rPr>
      </w:pPr>
      <w:r>
        <w:rPr/>
        <mc:AlternateContent>
          <mc:Choice Requires="wpg">
            <w:drawing>
              <wp:anchor behindDoc="0" distT="5080" distB="0" distL="0" distR="1270" simplePos="0" locked="0" layoutInCell="1" allowOverlap="1" relativeHeight="57" wp14:anchorId="5BD19115">
                <wp:simplePos x="0" y="0"/>
                <wp:positionH relativeFrom="column">
                  <wp:posOffset>1056005</wp:posOffset>
                </wp:positionH>
                <wp:positionV relativeFrom="paragraph">
                  <wp:posOffset>2519680</wp:posOffset>
                </wp:positionV>
                <wp:extent cx="2457450" cy="799465"/>
                <wp:effectExtent l="0" t="5715" r="0" b="0"/>
                <wp:wrapNone/>
                <wp:docPr id="15" name="Группа 61"/>
                <a:graphic xmlns:a="http://schemas.openxmlformats.org/drawingml/2006/main">
                  <a:graphicData uri="http://schemas.microsoft.com/office/word/2010/wordprocessingGroup">
                    <wpg:wgp>
                      <wpg:cNvGrpSpPr/>
                      <wpg:grpSpPr>
                        <a:xfrm>
                          <a:off x="0" y="0"/>
                          <a:ext cx="2457360" cy="799560"/>
                          <a:chOff x="0" y="0"/>
                          <a:chExt cx="2457360" cy="799560"/>
                        </a:xfrm>
                      </wpg:grpSpPr>
                      <wps:wsp>
                        <wps:cNvPr id="16" name="Text Box 9"/>
                        <wps:cNvSpPr/>
                        <wps:spPr>
                          <a:xfrm>
                            <a:off x="0" y="340200"/>
                            <a:ext cx="2457360" cy="459000"/>
                          </a:xfrm>
                          <a:prstGeom prst="rect">
                            <a:avLst/>
                          </a:prstGeom>
                          <a:noFill/>
                          <a:ln w="0">
                            <a:noFill/>
                          </a:ln>
                        </wps:spPr>
                        <wps:style>
                          <a:lnRef idx="0"/>
                          <a:fillRef idx="0"/>
                          <a:effectRef idx="0"/>
                          <a:fontRef idx="minor"/>
                        </wps:style>
                        <wps:txbx>
                          <w:txbxContent>
                            <w:p>
                              <w:pPr>
                                <w:pStyle w:val="Normal"/>
                                <w:spacing w:before="120" w:after="120"/>
                                <w:rPr>
                                  <w:b/>
                                  <w:sz w:val="32"/>
                                </w:rPr>
                              </w:pPr>
                              <w:r>
                                <w:rPr>
                                  <w:b/>
                                  <w:sz w:val="32"/>
                                </w:rPr>
                                <w:t>Новый источник</w:t>
                              </w:r>
                            </w:p>
                          </w:txbxContent>
                        </wps:txbx>
                        <wps:bodyPr anchor="t">
                          <a:noAutofit/>
                        </wps:bodyPr>
                      </wps:wsp>
                      <wpg:grpSp>
                        <wpg:cNvGrpSpPr/>
                        <wpg:grpSpPr>
                          <a:xfrm>
                            <a:off x="1851120" y="0"/>
                            <a:ext cx="224640" cy="339840"/>
                          </a:xfrm>
                        </wpg:grpSpPr>
                        <wps:wsp>
                          <wps:cNvPr id="17" name="AutoShape 11"/>
                          <wps:cNvSpPr/>
                          <wps:spPr>
                            <a:xfrm>
                              <a:off x="0" y="117360"/>
                              <a:ext cx="179640" cy="222120"/>
                            </a:xfrm>
                            <a:prstGeom prst="triangle">
                              <a:avLst>
                                <a:gd name="adj" fmla="val 50000"/>
                              </a:avLst>
                            </a:prstGeom>
                            <a:solidFill>
                              <a:srgbClr val="ff0000"/>
                            </a:solidFill>
                            <a:ln w="9525">
                              <a:solidFill>
                                <a:srgbClr val="000000"/>
                              </a:solidFill>
                              <a:miter/>
                            </a:ln>
                          </wps:spPr>
                          <wps:style>
                            <a:lnRef idx="0"/>
                            <a:fillRef idx="0"/>
                            <a:effectRef idx="0"/>
                            <a:fontRef idx="minor"/>
                          </wps:style>
                          <wps:bodyPr/>
                        </wps:wsp>
                        <wps:wsp>
                          <wps:cNvPr id="18" name="Rectangle 12"/>
                          <wps:cNvSpPr/>
                          <wps:spPr>
                            <a:xfrm>
                              <a:off x="180360" y="0"/>
                              <a:ext cx="44280" cy="339840"/>
                            </a:xfrm>
                            <a:prstGeom prst="rect">
                              <a:avLst/>
                            </a:prstGeom>
                            <a:solidFill>
                              <a:srgbClr val="ff0000"/>
                            </a:solidFill>
                            <a:ln w="9525">
                              <a:solidFill>
                                <a:srgbClr val="000000"/>
                              </a:solidFill>
                              <a:miter/>
                            </a:ln>
                          </wps:spPr>
                          <wps:style>
                            <a:lnRef idx="0"/>
                            <a:fillRef idx="0"/>
                            <a:effectRef idx="0"/>
                            <a:fontRef idx="minor"/>
                          </wps:style>
                          <wps:bodyPr/>
                        </wps:wsp>
                      </wpg:grpSp>
                    </wpg:wgp>
                  </a:graphicData>
                </a:graphic>
              </wp:anchor>
            </w:drawing>
          </mc:Choice>
          <mc:Fallback>
            <w:pict>
              <v:group id="shape_0" alt="Группа 61" style="position:absolute;margin-left:83.15pt;margin-top:198.4pt;width:193.5pt;height:62.95pt" coordorigin="1663,3968" coordsize="3870,1259">
                <v:rect id="shape_0" ID="Text Box 9" path="m0,0l-2147483645,0l-2147483645,-2147483646l0,-2147483646xe" stroked="f" o:allowincell="f" style="position:absolute;left:1663;top:4504;width:3869;height:722;mso-wrap-style:square;v-text-anchor:top">
                  <v:fill o:detectmouseclick="t" on="false"/>
                  <v:stroke color="#3465a4" joinstyle="round" endcap="flat"/>
                  <v:textbox>
                    <w:txbxContent>
                      <w:p>
                        <w:pPr>
                          <w:pStyle w:val="Normal"/>
                          <w:spacing w:before="120" w:after="120"/>
                          <w:rPr>
                            <w:b/>
                            <w:sz w:val="32"/>
                          </w:rPr>
                        </w:pPr>
                        <w:r>
                          <w:rPr>
                            <w:b/>
                            <w:sz w:val="32"/>
                          </w:rPr>
                          <w:t>Новый источник</w:t>
                        </w:r>
                      </w:p>
                    </w:txbxContent>
                  </v:textbox>
                  <w10:wrap type="none"/>
                </v:rect>
                <v:group id="shape_0" style="position:absolute;left:4578;top:3968;width:354;height:535">
                  <v:shape id="shape_0" ID="AutoShape 11" path="l-2147483641,0l-2147483635,-2147483636xe" fillcolor="red" stroked="t" o:allowincell="f" style="position:absolute;left:4578;top:4153;width:282;height:349;mso-wrap-style:none;v-text-anchor:middle" type="_x0000_t5">
                    <v:fill o:detectmouseclick="t" type="solid" color2="aqua"/>
                    <v:stroke color="black" weight="9360" joinstyle="miter" endcap="flat"/>
                    <w10:wrap type="none"/>
                  </v:shape>
                  <v:rect id="shape_0" ID="Rectangle 12" path="m0,0l-2147483645,0l-2147483645,-2147483646l0,-2147483646xe" fillcolor="red" stroked="t" o:allowincell="f" style="position:absolute;left:4862;top:3968;width:69;height:534;mso-wrap-style:none;v-text-anchor:middle">
                    <v:fill o:detectmouseclick="t" type="solid" color2="aqua"/>
                    <v:stroke color="black" weight="9360" joinstyle="miter" endcap="flat"/>
                    <w10:wrap type="none"/>
                  </v:rect>
                </v:group>
              </v:group>
            </w:pict>
          </mc:Fallback>
        </mc:AlternateContent>
        <w:drawing>
          <wp:inline distT="0" distB="0" distL="0" distR="0">
            <wp:extent cx="5764530" cy="3788410"/>
            <wp:effectExtent l="0" t="0" r="0" b="0"/>
            <wp:docPr id="19" name="Рисунок 737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3737" descr=""/>
                    <pic:cNvPicPr>
                      <a:picLocks noChangeAspect="1" noChangeArrowheads="1"/>
                    </pic:cNvPicPr>
                  </pic:nvPicPr>
                  <pic:blipFill>
                    <a:blip r:embed="rId33"/>
                    <a:srcRect l="0" t="7811" r="0" b="0"/>
                    <a:stretch>
                      <a:fillRect/>
                    </a:stretch>
                  </pic:blipFill>
                  <pic:spPr bwMode="auto">
                    <a:xfrm>
                      <a:off x="0" y="0"/>
                      <a:ext cx="5764530" cy="3788410"/>
                    </a:xfrm>
                    <a:prstGeom prst="rect">
                      <a:avLst/>
                    </a:prstGeom>
                    <a:noFill/>
                  </pic:spPr>
                </pic:pic>
              </a:graphicData>
            </a:graphic>
          </wp:inline>
        </w:drawing>
      </w:r>
    </w:p>
    <w:p>
      <w:pPr>
        <w:pStyle w:val="user1"/>
        <w:rPr/>
      </w:pPr>
      <w:bookmarkStart w:id="105" w:name="_Toc71274679"/>
      <w:bookmarkStart w:id="106" w:name="_Toc374356170"/>
      <w:r>
        <w:rPr/>
        <w:t>Рисунок 2.</w:t>
      </w:r>
      <w:r>
        <w:rPr/>
        <w:fldChar w:fldCharType="begin"/>
      </w:r>
      <w:r>
        <w:rPr/>
        <w:instrText xml:space="preserve"> SEQ Рисунок \* ARABIC </w:instrText>
      </w:r>
      <w:r>
        <w:rPr/>
        <w:fldChar w:fldCharType="separate"/>
      </w:r>
      <w:r>
        <w:rPr/>
        <w:t>2</w:t>
      </w:r>
      <w:r>
        <w:rPr/>
        <w:fldChar w:fldCharType="end"/>
      </w:r>
      <w:r>
        <w:rPr/>
        <w:t>. Месторасположение предлагаемой к строительству котельной (НИ-2)</w:t>
      </w:r>
      <w:bookmarkEnd w:id="105"/>
      <w:bookmarkEnd w:id="106"/>
    </w:p>
    <w:p>
      <w:pPr>
        <w:pStyle w:val="Normal"/>
        <w:spacing w:lineRule="auto" w:line="360"/>
        <w:ind w:hanging="0"/>
        <w:rPr>
          <w:rFonts w:cs="Arial"/>
          <w:b/>
          <w:bCs/>
          <w:sz w:val="24"/>
          <w:szCs w:val="24"/>
        </w:rPr>
      </w:pPr>
      <w:r>
        <w:rPr/>
        <mc:AlternateContent>
          <mc:Choice Requires="wpg">
            <w:drawing>
              <wp:anchor behindDoc="0" distT="12065" distB="0" distL="0" distR="0" simplePos="0" locked="0" layoutInCell="1" allowOverlap="1" relativeHeight="59" wp14:anchorId="0003B99E">
                <wp:simplePos x="0" y="0"/>
                <wp:positionH relativeFrom="column">
                  <wp:posOffset>1219200</wp:posOffset>
                </wp:positionH>
                <wp:positionV relativeFrom="paragraph">
                  <wp:posOffset>2536190</wp:posOffset>
                </wp:positionV>
                <wp:extent cx="2457450" cy="799465"/>
                <wp:effectExtent l="0" t="5715" r="0" b="0"/>
                <wp:wrapNone/>
                <wp:docPr id="20" name="Группа 73731"/>
                <a:graphic xmlns:a="http://schemas.openxmlformats.org/drawingml/2006/main">
                  <a:graphicData uri="http://schemas.microsoft.com/office/word/2010/wordprocessingGroup">
                    <wpg:wgp>
                      <wpg:cNvGrpSpPr/>
                      <wpg:grpSpPr>
                        <a:xfrm>
                          <a:off x="0" y="0"/>
                          <a:ext cx="2457360" cy="799560"/>
                          <a:chOff x="0" y="0"/>
                          <a:chExt cx="2457360" cy="799560"/>
                        </a:xfrm>
                      </wpg:grpSpPr>
                      <wps:wsp>
                        <wps:cNvPr id="21" name="Text Box 14"/>
                        <wps:cNvSpPr/>
                        <wps:spPr>
                          <a:xfrm>
                            <a:off x="0" y="340200"/>
                            <a:ext cx="2457360" cy="459000"/>
                          </a:xfrm>
                          <a:prstGeom prst="rect">
                            <a:avLst/>
                          </a:prstGeom>
                          <a:noFill/>
                          <a:ln w="0">
                            <a:noFill/>
                          </a:ln>
                        </wps:spPr>
                        <wps:style>
                          <a:lnRef idx="0"/>
                          <a:fillRef idx="0"/>
                          <a:effectRef idx="0"/>
                          <a:fontRef idx="minor"/>
                        </wps:style>
                        <wps:txbx>
                          <w:txbxContent>
                            <w:p>
                              <w:pPr>
                                <w:pStyle w:val="Normal"/>
                                <w:spacing w:before="120" w:after="120"/>
                                <w:rPr>
                                  <w:b/>
                                  <w:sz w:val="32"/>
                                </w:rPr>
                              </w:pPr>
                              <w:r>
                                <w:rPr>
                                  <w:b/>
                                  <w:sz w:val="32"/>
                                </w:rPr>
                                <w:t>Новый источник</w:t>
                              </w:r>
                            </w:p>
                          </w:txbxContent>
                        </wps:txbx>
                        <wps:bodyPr anchor="t">
                          <a:noAutofit/>
                        </wps:bodyPr>
                      </wps:wsp>
                      <wpg:grpSp>
                        <wpg:cNvGrpSpPr/>
                        <wpg:grpSpPr>
                          <a:xfrm>
                            <a:off x="1851120" y="0"/>
                            <a:ext cx="224640" cy="339840"/>
                          </a:xfrm>
                        </wpg:grpSpPr>
                        <wps:wsp>
                          <wps:cNvPr id="22" name="AutoShape 16"/>
                          <wps:cNvSpPr/>
                          <wps:spPr>
                            <a:xfrm>
                              <a:off x="0" y="117360"/>
                              <a:ext cx="179640" cy="222120"/>
                            </a:xfrm>
                            <a:prstGeom prst="triangle">
                              <a:avLst>
                                <a:gd name="adj" fmla="val 50000"/>
                              </a:avLst>
                            </a:prstGeom>
                            <a:solidFill>
                              <a:srgbClr val="ff0000"/>
                            </a:solidFill>
                            <a:ln w="9525">
                              <a:solidFill>
                                <a:srgbClr val="000000"/>
                              </a:solidFill>
                              <a:miter/>
                            </a:ln>
                          </wps:spPr>
                          <wps:style>
                            <a:lnRef idx="0"/>
                            <a:fillRef idx="0"/>
                            <a:effectRef idx="0"/>
                            <a:fontRef idx="minor"/>
                          </wps:style>
                          <wps:bodyPr/>
                        </wps:wsp>
                        <wps:wsp>
                          <wps:cNvPr id="23" name="Rectangle 17"/>
                          <wps:cNvSpPr/>
                          <wps:spPr>
                            <a:xfrm>
                              <a:off x="180360" y="0"/>
                              <a:ext cx="44280" cy="339840"/>
                            </a:xfrm>
                            <a:prstGeom prst="rect">
                              <a:avLst/>
                            </a:prstGeom>
                            <a:solidFill>
                              <a:srgbClr val="ff0000"/>
                            </a:solidFill>
                            <a:ln w="9525">
                              <a:solidFill>
                                <a:srgbClr val="000000"/>
                              </a:solidFill>
                              <a:miter/>
                            </a:ln>
                          </wps:spPr>
                          <wps:style>
                            <a:lnRef idx="0"/>
                            <a:fillRef idx="0"/>
                            <a:effectRef idx="0"/>
                            <a:fontRef idx="minor"/>
                          </wps:style>
                          <wps:bodyPr/>
                        </wps:wsp>
                      </wpg:grpSp>
                    </wpg:wgp>
                  </a:graphicData>
                </a:graphic>
              </wp:anchor>
            </w:drawing>
          </mc:Choice>
          <mc:Fallback>
            <w:pict>
              <v:group id="shape_0" alt="Группа 73731" style="position:absolute;margin-left:96pt;margin-top:199.7pt;width:193.5pt;height:62.95pt" coordorigin="1920,3994" coordsize="3870,1259">
                <v:rect id="shape_0" ID="Text Box 14" path="m0,0l-2147483645,0l-2147483645,-2147483646l0,-2147483646xe" stroked="f" o:allowincell="f" style="position:absolute;left:1920;top:4530;width:3869;height:722;mso-wrap-style:square;v-text-anchor:top">
                  <v:fill o:detectmouseclick="t" on="false"/>
                  <v:stroke color="#3465a4" joinstyle="round" endcap="flat"/>
                  <v:textbox>
                    <w:txbxContent>
                      <w:p>
                        <w:pPr>
                          <w:pStyle w:val="Normal"/>
                          <w:spacing w:before="120" w:after="120"/>
                          <w:rPr>
                            <w:b/>
                            <w:sz w:val="32"/>
                          </w:rPr>
                        </w:pPr>
                        <w:r>
                          <w:rPr>
                            <w:b/>
                            <w:sz w:val="32"/>
                          </w:rPr>
                          <w:t>Новый источник</w:t>
                        </w:r>
                      </w:p>
                    </w:txbxContent>
                  </v:textbox>
                  <w10:wrap type="none"/>
                </v:rect>
                <v:group id="shape_0" style="position:absolute;left:4835;top:3994;width:354;height:535">
                  <v:shape id="shape_0" ID="AutoShape 16" path="l-2147483641,0l-2147483635,-2147483636xe" fillcolor="red" stroked="t" o:allowincell="f" style="position:absolute;left:4835;top:4179;width:282;height:349;mso-wrap-style:none;v-text-anchor:middle" type="_x0000_t5">
                    <v:fill o:detectmouseclick="t" type="solid" color2="aqua"/>
                    <v:stroke color="black" weight="9360" joinstyle="miter" endcap="flat"/>
                    <w10:wrap type="none"/>
                  </v:shape>
                  <v:rect id="shape_0" ID="Rectangle 17" path="m0,0l-2147483645,0l-2147483645,-2147483646l0,-2147483646xe" fillcolor="red" stroked="t" o:allowincell="f" style="position:absolute;left:5119;top:3994;width:69;height:534;mso-wrap-style:none;v-text-anchor:middle">
                    <v:fill o:detectmouseclick="t" type="solid" color2="aqua"/>
                    <v:stroke color="black" weight="9360" joinstyle="miter" endcap="flat"/>
                    <w10:wrap type="none"/>
                  </v:rect>
                </v:group>
              </v:group>
            </w:pict>
          </mc:Fallback>
        </mc:AlternateContent>
        <w:drawing>
          <wp:inline distT="0" distB="0" distL="0" distR="0">
            <wp:extent cx="5760720" cy="4282440"/>
            <wp:effectExtent l="0" t="0" r="0" b="0"/>
            <wp:docPr id="24"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1" descr=""/>
                    <pic:cNvPicPr>
                      <a:picLocks noChangeAspect="1" noChangeArrowheads="1"/>
                    </pic:cNvPicPr>
                  </pic:nvPicPr>
                  <pic:blipFill>
                    <a:blip r:embed="rId34"/>
                    <a:stretch>
                      <a:fillRect/>
                    </a:stretch>
                  </pic:blipFill>
                  <pic:spPr bwMode="auto">
                    <a:xfrm>
                      <a:off x="0" y="0"/>
                      <a:ext cx="5760720" cy="4282440"/>
                    </a:xfrm>
                    <a:prstGeom prst="rect">
                      <a:avLst/>
                    </a:prstGeom>
                    <a:noFill/>
                  </pic:spPr>
                </pic:pic>
              </a:graphicData>
            </a:graphic>
          </wp:inline>
        </w:drawing>
      </w:r>
    </w:p>
    <w:p>
      <w:pPr>
        <w:pStyle w:val="user1"/>
        <w:rPr/>
      </w:pPr>
      <w:bookmarkStart w:id="107" w:name="_Toc71274680"/>
      <w:bookmarkStart w:id="108" w:name="_Toc374356171"/>
      <w:r>
        <w:rPr/>
        <w:t>Рисунок 2.</w:t>
      </w:r>
      <w:r>
        <w:rPr/>
        <w:fldChar w:fldCharType="begin"/>
      </w:r>
      <w:r>
        <w:rPr/>
        <w:instrText xml:space="preserve"> SEQ Рисунок \* ARABIC </w:instrText>
      </w:r>
      <w:r>
        <w:rPr/>
        <w:fldChar w:fldCharType="separate"/>
      </w:r>
      <w:r>
        <w:rPr/>
        <w:t>3</w:t>
      </w:r>
      <w:r>
        <w:rPr/>
        <w:fldChar w:fldCharType="end"/>
      </w:r>
      <w:r>
        <w:rPr/>
        <w:t>. Месторасположение предлагаемой к строительству котельной (НИ-3)</w:t>
      </w:r>
      <w:bookmarkEnd w:id="107"/>
      <w:bookmarkEnd w:id="108"/>
    </w:p>
    <w:p>
      <w:pPr>
        <w:pStyle w:val="Normal"/>
        <w:spacing w:lineRule="auto" w:line="360"/>
        <w:rPr>
          <w:rFonts w:cs="Arial"/>
          <w:sz w:val="24"/>
          <w:szCs w:val="24"/>
        </w:rPr>
      </w:pPr>
      <w:r>
        <w:rPr>
          <w:rFonts w:cs="Arial"/>
          <w:sz w:val="24"/>
          <w:szCs w:val="24"/>
        </w:rPr>
      </w:r>
    </w:p>
    <w:p>
      <w:pPr>
        <w:pStyle w:val="Heading2"/>
        <w:numPr>
          <w:ilvl w:val="1"/>
          <w:numId w:val="29"/>
        </w:numPr>
        <w:ind w:hanging="0" w:left="0"/>
        <w:jc w:val="center"/>
        <w:rPr/>
      </w:pPr>
      <w:r>
        <w:rPr/>
        <w:t xml:space="preserve"> </w:t>
      </w:r>
      <w:bookmarkStart w:id="109" w:name="_Toc132981673"/>
      <w:r>
        <w:rPr/>
        <w:t>Описание зон действия индивидуальных  источников тепловой энергии</w:t>
      </w:r>
      <w:bookmarkEnd w:id="109"/>
    </w:p>
    <w:p>
      <w:pPr>
        <w:pStyle w:val="Normal"/>
        <w:spacing w:lineRule="auto" w:line="360"/>
        <w:rPr>
          <w:rFonts w:cs="Arial"/>
          <w:sz w:val="24"/>
          <w:szCs w:val="24"/>
        </w:rPr>
      </w:pPr>
      <w:r>
        <w:rPr>
          <w:rFonts w:cs="Arial"/>
          <w:sz w:val="24"/>
          <w:szCs w:val="24"/>
        </w:rPr>
      </w:r>
    </w:p>
    <w:p>
      <w:pPr>
        <w:pStyle w:val="Normal"/>
        <w:spacing w:lineRule="auto" w:line="360"/>
        <w:rPr>
          <w:kern w:val="2"/>
          <w:sz w:val="24"/>
          <w:lang w:eastAsia="ru-RU"/>
        </w:rPr>
      </w:pPr>
      <w:r>
        <w:rPr>
          <w:kern w:val="2"/>
          <w:sz w:val="24"/>
          <w:lang w:eastAsia="ru-RU"/>
        </w:rPr>
        <w:t xml:space="preserve">Зоны действия индивидуального теплоснабжения в муниципальном образовании «Город Калуга»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 </w:t>
      </w:r>
    </w:p>
    <w:p>
      <w:pPr>
        <w:pStyle w:val="Normal"/>
        <w:spacing w:lineRule="auto" w:line="360"/>
        <w:rPr>
          <w:kern w:val="2"/>
          <w:sz w:val="24"/>
          <w:lang w:eastAsia="ru-RU"/>
        </w:rPr>
      </w:pPr>
      <w:r>
        <w:rPr>
          <w:kern w:val="2"/>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pPr>
        <w:pStyle w:val="Heading2"/>
        <w:numPr>
          <w:ilvl w:val="1"/>
          <w:numId w:val="29"/>
        </w:numPr>
        <w:ind w:hanging="0" w:left="0"/>
        <w:jc w:val="center"/>
        <w:rPr/>
      </w:pPr>
      <w:r>
        <w:rPr/>
        <w:t xml:space="preserve"> </w:t>
      </w:r>
      <w:bookmarkStart w:id="110" w:name="_Toc132981674"/>
      <w:r>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bookmarkEnd w:id="110"/>
    </w:p>
    <w:p>
      <w:pPr>
        <w:pStyle w:val="Normal"/>
        <w:spacing w:lineRule="auto" w:line="360"/>
        <w:rPr/>
      </w:pPr>
      <w:r>
        <w:rPr/>
      </w:r>
    </w:p>
    <w:p>
      <w:pPr>
        <w:pStyle w:val="Normal"/>
        <w:spacing w:lineRule="auto" w:line="360"/>
        <w:rPr>
          <w:rFonts w:cs="Arial"/>
          <w:b/>
          <w:sz w:val="24"/>
          <w:szCs w:val="24"/>
        </w:rPr>
      </w:pPr>
      <w:r>
        <w:rPr/>
        <w:tab/>
      </w:r>
      <w:r>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Pr>
          <w:rFonts w:eastAsia="Times New Roman"/>
          <w:kern w:val="2"/>
          <w:sz w:val="24"/>
          <w:szCs w:val="24"/>
          <w:lang w:eastAsia="ru-RU"/>
        </w:rPr>
        <w:t>Главе</w:t>
      </w:r>
      <w:r>
        <w:rPr>
          <w:rFonts w:cs="Arial"/>
          <w:sz w:val="24"/>
          <w:szCs w:val="24"/>
        </w:rPr>
        <w:t xml:space="preserve"> 4 «Существующие и перспективные балансы тепловой </w:t>
        <w:br/>
        <w:t>мощности  источников, тепловой энергии и тепловой нагрузки потребителей».</w:t>
      </w:r>
    </w:p>
    <w:p>
      <w:pPr>
        <w:pStyle w:val="Normal"/>
        <w:spacing w:lineRule="auto" w:line="360"/>
        <w:rPr>
          <w:rFonts w:cs="Arial"/>
          <w:sz w:val="24"/>
          <w:szCs w:val="24"/>
        </w:rPr>
      </w:pPr>
      <w:r>
        <w:rPr>
          <w:rFonts w:cs="Arial"/>
          <w:sz w:val="24"/>
          <w:szCs w:val="24"/>
        </w:rPr>
        <w:t xml:space="preserve"> </w:t>
      </w:r>
      <w:r>
        <w:rPr>
          <w:rFonts w:cs="Arial"/>
          <w:sz w:val="24"/>
          <w:szCs w:val="24"/>
        </w:rPr>
        <w:t>Обосновывающих материалов к схеме теплоснабжения муниципального образования «Город Калуга» до 2028 года (шифр 29401.ОМ-ПСТ.004.000).</w:t>
      </w:r>
    </w:p>
    <w:p>
      <w:pPr>
        <w:pStyle w:val="Normal"/>
        <w:spacing w:lineRule="auto" w:line="360"/>
        <w:rPr>
          <w:sz w:val="24"/>
          <w:szCs w:val="24"/>
        </w:rPr>
      </w:pPr>
      <w:r>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pPr>
        <w:pStyle w:val="Normal"/>
        <w:spacing w:lineRule="auto" w:line="360"/>
        <w:rPr>
          <w:sz w:val="24"/>
          <w:szCs w:val="24"/>
        </w:rPr>
      </w:pPr>
      <w:r>
        <w:rPr>
          <w:sz w:val="24"/>
          <w:szCs w:val="24"/>
        </w:rPr>
        <w:t>На рисунке 2.4 представлена структура использования установленной тепловой мощности источников тепловой энергии муниципального образования «Город Калуга» в период до 2028 года.</w:t>
      </w:r>
    </w:p>
    <w:p>
      <w:pPr>
        <w:pStyle w:val="Normal"/>
        <w:spacing w:lineRule="auto" w:line="340" w:before="32" w:after="120"/>
        <w:ind w:firstLine="567" w:right="45"/>
        <w:rPr>
          <w:rFonts w:eastAsia="Arial" w:cs="Arial"/>
          <w:spacing w:val="-4"/>
          <w:szCs w:val="24"/>
        </w:rPr>
      </w:pPr>
      <w:r>
        <w:rPr>
          <w:rFonts w:eastAsia="Arial" w:cs="Arial"/>
          <w:spacing w:val="-4"/>
          <w:szCs w:val="24"/>
        </w:rPr>
      </w:r>
    </w:p>
    <w:p>
      <w:pPr>
        <w:pStyle w:val="Normal"/>
        <w:spacing w:lineRule="auto" w:line="340" w:before="32" w:after="120"/>
        <w:ind w:hanging="0" w:right="45"/>
        <w:jc w:val="center"/>
        <w:rPr>
          <w:rFonts w:eastAsia="Arial" w:cs="Arial"/>
          <w:spacing w:val="-4"/>
          <w:szCs w:val="24"/>
        </w:rPr>
      </w:pPr>
      <w:r>
        <w:rPr/>
        <w:drawing>
          <wp:inline distT="0" distB="0" distL="0" distR="0">
            <wp:extent cx="5569585" cy="4643120"/>
            <wp:effectExtent l="0" t="0" r="0" b="0"/>
            <wp:docPr id="25"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 descr=""/>
                    <pic:cNvPicPr>
                      <a:picLocks noChangeAspect="1" noChangeArrowheads="1"/>
                    </pic:cNvPicPr>
                  </pic:nvPicPr>
                  <pic:blipFill>
                    <a:blip r:embed="rId35"/>
                    <a:stretch>
                      <a:fillRect/>
                    </a:stretch>
                  </pic:blipFill>
                  <pic:spPr bwMode="auto">
                    <a:xfrm>
                      <a:off x="0" y="0"/>
                      <a:ext cx="5569585" cy="4643120"/>
                    </a:xfrm>
                    <a:prstGeom prst="rect">
                      <a:avLst/>
                    </a:prstGeom>
                    <a:noFill/>
                  </pic:spPr>
                </pic:pic>
              </a:graphicData>
            </a:graphic>
          </wp:inline>
        </w:drawing>
      </w:r>
    </w:p>
    <w:p>
      <w:pPr>
        <w:pStyle w:val="user1"/>
        <w:rPr/>
      </w:pPr>
      <w:bookmarkStart w:id="111" w:name="_Toc335393924"/>
      <w:bookmarkStart w:id="112" w:name="_Toc71274681"/>
      <w:bookmarkStart w:id="113" w:name="_Toc374353339"/>
      <w:bookmarkStart w:id="114" w:name="_Toc298060047"/>
      <w:r>
        <w:rPr/>
        <w:t>Рисунок 2.</w:t>
      </w:r>
      <w:r>
        <w:rPr/>
        <w:fldChar w:fldCharType="begin"/>
      </w:r>
      <w:r>
        <w:rPr/>
        <w:instrText xml:space="preserve"> SEQ Рисунок \* ARABIC </w:instrText>
      </w:r>
      <w:r>
        <w:rPr/>
        <w:fldChar w:fldCharType="separate"/>
      </w:r>
      <w:r>
        <w:rPr/>
        <w:t>4</w:t>
      </w:r>
      <w:r>
        <w:rPr/>
        <w:fldChar w:fldCharType="end"/>
      </w:r>
      <w:bookmarkEnd w:id="114"/>
      <w:r>
        <w:rPr/>
        <w:t>. Структура тепловых нагрузок и резервов тепловой мощности теплоисточников города</w:t>
      </w:r>
      <w:bookmarkEnd w:id="112"/>
      <w:bookmarkEnd w:id="113"/>
    </w:p>
    <w:p>
      <w:pPr>
        <w:pStyle w:val="user1"/>
        <w:jc w:val="left"/>
        <w:rPr/>
      </w:pPr>
      <w:r>
        <w:rPr/>
      </w:r>
    </w:p>
    <w:p>
      <w:pPr>
        <w:pStyle w:val="Normal"/>
        <w:spacing w:lineRule="auto" w:line="360"/>
        <w:rPr>
          <w:sz w:val="24"/>
        </w:rPr>
      </w:pPr>
      <w:r>
        <w:rPr>
          <w:sz w:val="24"/>
        </w:rPr>
        <w:t>Как видно из рисунка  2.4,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pPr>
        <w:pStyle w:val="Normal"/>
        <w:spacing w:lineRule="auto" w:line="360"/>
        <w:rPr>
          <w:sz w:val="24"/>
        </w:rPr>
      </w:pPr>
      <w:bookmarkStart w:id="115" w:name="_Toc335393924"/>
      <w:r>
        <w:rPr>
          <w:sz w:val="24"/>
        </w:rPr>
        <w:t>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МО снизить ограничения тепловой мощности и ее потребление на собственные нужды источников тепловой энергии.</w:t>
      </w:r>
      <w:bookmarkEnd w:id="115"/>
    </w:p>
    <w:p>
      <w:pPr>
        <w:pStyle w:val="Normal"/>
        <w:spacing w:lineRule="auto" w:line="360"/>
        <w:ind w:hanging="0"/>
        <w:rPr/>
      </w:pPr>
      <w:r>
        <w:rPr/>
      </w:r>
    </w:p>
    <w:p>
      <w:pPr>
        <w:pStyle w:val="Heading1"/>
        <w:numPr>
          <w:ilvl w:val="0"/>
          <w:numId w:val="0"/>
        </w:numPr>
        <w:ind w:hanging="0" w:left="0"/>
        <w:jc w:val="center"/>
        <w:rPr/>
      </w:pPr>
      <w:bookmarkStart w:id="116" w:name="_Toc132981675"/>
      <w:r>
        <w:rPr/>
        <w:t>Раздел 3. существующие и Перспективные балансы теплоносителя</w:t>
      </w:r>
      <w:bookmarkEnd w:id="116"/>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балансы теплоносителя приведены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pStyle w:val="Normal"/>
        <w:widowControl/>
        <w:spacing w:lineRule="auto" w:line="360" w:before="0" w:after="0"/>
        <w:textAlignment w:val="auto"/>
        <w:rPr/>
      </w:pPr>
      <w:r>
        <w:rPr/>
      </w:r>
    </w:p>
    <w:p>
      <w:pPr>
        <w:pStyle w:val="Heading2"/>
        <w:numPr>
          <w:ilvl w:val="0"/>
          <w:numId w:val="0"/>
        </w:numPr>
        <w:ind w:hanging="0" w:left="0"/>
        <w:jc w:val="center"/>
        <w:rPr/>
      </w:pPr>
      <w:bookmarkStart w:id="117" w:name="_Toc132981676"/>
      <w:r>
        <w:rPr/>
        <w:t>3.1. Существующие и перспективные объемы теплоносителя</w:t>
      </w:r>
      <w:bookmarkEnd w:id="117"/>
    </w:p>
    <w:p>
      <w:pPr>
        <w:pStyle w:val="Normal"/>
        <w:rPr/>
      </w:pPr>
      <w:r>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объемы теплоносителя используемого в системах теплоснабжения МО «Город Калуга» по зонам источников тепловой энергии приведены в Глав</w:t>
      </w:r>
      <w:r>
        <w:rPr>
          <w:rFonts w:cs="Arial"/>
          <w:sz w:val="24"/>
          <w:szCs w:val="24"/>
        </w:rPr>
        <w:t>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rFonts w:cs="Arial"/>
          <w:b/>
          <w:sz w:val="24"/>
          <w:szCs w:val="24"/>
        </w:rPr>
        <w:t xml:space="preserve"> </w:t>
      </w:r>
      <w:r>
        <w:rPr>
          <w:rFonts w:cs="Arial"/>
          <w:sz w:val="24"/>
          <w:szCs w:val="24"/>
        </w:rPr>
        <w:t>Обосновывающих материалов к схеме теплоснабжения муниципального образования «Город Калуга» до 2028 года (шифр 29401.ОМ-ПСТ.006.000).</w:t>
      </w:r>
    </w:p>
    <w:p>
      <w:pPr>
        <w:sectPr>
          <w:headerReference w:type="default" r:id="rId36"/>
          <w:headerReference w:type="first" r:id="rId37"/>
          <w:footerReference w:type="default" r:id="rId38"/>
          <w:footerReference w:type="first" r:id="rId39"/>
          <w:type w:val="nextPage"/>
          <w:pgSz w:w="11906" w:h="16838"/>
          <w:pgMar w:left="1701" w:right="1134" w:gutter="0" w:header="720" w:top="1032" w:footer="720" w:bottom="1134"/>
          <w:pgNumType w:fmt="decimal"/>
          <w:formProt w:val="false"/>
          <w:textDirection w:val="lrTb"/>
          <w:docGrid w:type="default" w:linePitch="299" w:charSpace="0"/>
        </w:sectPr>
        <w:pStyle w:val="Normal"/>
        <w:widowControl/>
        <w:spacing w:lineRule="auto" w:line="360" w:before="0" w:after="0"/>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p>
    <w:p>
      <w:pPr>
        <w:pStyle w:val="Normal"/>
        <w:ind w:hanging="0"/>
        <w:rPr>
          <w:b/>
          <w:bCs/>
          <w:color w:themeColor="text1" w:val="000000"/>
          <w:sz w:val="18"/>
          <w:szCs w:val="18"/>
        </w:rPr>
      </w:pPr>
      <w:bookmarkStart w:id="118" w:name="_Toc132971367"/>
      <w:r>
        <w:rPr>
          <w:b/>
          <w:bCs/>
          <w:color w:themeColor="text1" w:val="000000"/>
          <w:sz w:val="18"/>
          <w:szCs w:val="18"/>
        </w:rPr>
        <w:t>Таблица 3.</w:t>
      </w:r>
      <w:r>
        <w:rPr>
          <w:b/>
          <w:bCs/>
          <w:color w:themeColor="text1" w:val="000000"/>
          <w:sz w:val="18"/>
          <w:szCs w:val="18"/>
        </w:rPr>
        <w:fldChar w:fldCharType="begin"/>
      </w:r>
      <w:r>
        <w:rPr>
          <w:sz w:val="18"/>
          <w:b/>
          <w:szCs w:val="18"/>
          <w:bCs/>
          <w:color w:themeColor="text1" w:val="000000"/>
        </w:rPr>
        <w:instrText xml:space="preserve"> SEQ Таблица \* ARABIC </w:instrText>
      </w:r>
      <w:r>
        <w:rPr>
          <w:sz w:val="18"/>
          <w:b/>
          <w:szCs w:val="18"/>
          <w:bCs/>
          <w:color w:themeColor="text1" w:val="000000"/>
        </w:rPr>
        <w:fldChar w:fldCharType="separate"/>
      </w:r>
      <w:r>
        <w:rPr>
          <w:sz w:val="18"/>
          <w:b/>
          <w:szCs w:val="18"/>
          <w:bCs/>
          <w:color w:themeColor="text1" w:val="000000"/>
        </w:rPr>
        <w:t>1</w:t>
      </w:r>
      <w:r>
        <w:rPr>
          <w:sz w:val="18"/>
          <w:b/>
          <w:szCs w:val="18"/>
          <w:bCs/>
          <w:color w:themeColor="text1" w:val="000000"/>
        </w:rPr>
        <w:fldChar w:fldCharType="end"/>
      </w:r>
      <w:r>
        <w:rPr>
          <w:b/>
          <w:bCs/>
          <w:color w:themeColor="text1" w:val="000000"/>
          <w:sz w:val="18"/>
          <w:szCs w:val="18"/>
        </w:rPr>
        <w:t>. Суммарные объемы теплоносителя по МО «Город Калуга»</w:t>
      </w:r>
      <w:bookmarkEnd w:id="118"/>
    </w:p>
    <w:tbl>
      <w:tblPr>
        <w:tblW w:w="5000" w:type="pct"/>
        <w:jc w:val="left"/>
        <w:tblInd w:w="0" w:type="dxa"/>
        <w:tblLayout w:type="fixed"/>
        <w:tblCellMar>
          <w:top w:w="0" w:type="dxa"/>
          <w:left w:w="28" w:type="dxa"/>
          <w:bottom w:w="0" w:type="dxa"/>
          <w:right w:w="28" w:type="dxa"/>
        </w:tblCellMar>
        <w:tblLook w:firstRow="1" w:noVBand="1" w:lastRow="0" w:firstColumn="1" w:lastColumn="0" w:noHBand="0" w:val="04a0"/>
      </w:tblPr>
      <w:tblGrid>
        <w:gridCol w:w="1795"/>
        <w:gridCol w:w="757"/>
        <w:gridCol w:w="759"/>
        <w:gridCol w:w="757"/>
        <w:gridCol w:w="757"/>
        <w:gridCol w:w="757"/>
        <w:gridCol w:w="757"/>
        <w:gridCol w:w="759"/>
        <w:gridCol w:w="757"/>
        <w:gridCol w:w="757"/>
        <w:gridCol w:w="757"/>
        <w:gridCol w:w="758"/>
        <w:gridCol w:w="758"/>
        <w:gridCol w:w="757"/>
        <w:gridCol w:w="757"/>
        <w:gridCol w:w="758"/>
        <w:gridCol w:w="757"/>
        <w:gridCol w:w="754"/>
      </w:tblGrid>
      <w:tr>
        <w:trPr>
          <w:trHeight w:val="300" w:hRule="atLeast"/>
        </w:trPr>
        <w:tc>
          <w:tcPr>
            <w:tcW w:w="179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2012</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2015</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2017</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2018</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2019</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2021</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2022</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2025</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2027</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2028</w:t>
            </w:r>
          </w:p>
        </w:tc>
      </w:tr>
      <w:tr>
        <w:trPr>
          <w:trHeight w:val="300" w:hRule="atLeast"/>
        </w:trPr>
        <w:tc>
          <w:tcPr>
            <w:tcW w:w="179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Всего подпитка тепловой сети, в т.ч.:</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1087621</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1139903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1141800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1143697</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1145594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1148351</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1150471</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1155859</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1161246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1166634</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1172022</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1177410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1179560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1181710</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1183860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1186010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1188160</w:t>
            </w:r>
          </w:p>
        </w:tc>
      </w:tr>
      <w:tr>
        <w:trPr>
          <w:trHeight w:val="300" w:hRule="atLeast"/>
        </w:trPr>
        <w:tc>
          <w:tcPr>
            <w:tcW w:w="179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На хоз.нужды тепловых сетей</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14931</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14931</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14923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14914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14906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15785</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15999</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16413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16826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17239</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17653</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18066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18201</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18336</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18470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18605</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18740</w:t>
            </w:r>
          </w:p>
        </w:tc>
      </w:tr>
      <w:tr>
        <w:trPr>
          <w:trHeight w:val="300" w:hRule="atLeast"/>
        </w:trPr>
        <w:tc>
          <w:tcPr>
            <w:tcW w:w="179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нормативные утечки теплоносителя</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217991</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217991</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222972</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227953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232934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237889</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242870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249224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255578</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261932</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268286</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274640</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276776</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278911</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281047</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283183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285319</w:t>
            </w:r>
          </w:p>
        </w:tc>
      </w:tr>
      <w:tr>
        <w:trPr>
          <w:trHeight w:val="300" w:hRule="atLeast"/>
        </w:trPr>
        <w:tc>
          <w:tcPr>
            <w:tcW w:w="179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сверхнормативные утечки теплоносителя</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906981</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906981</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903905</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900829</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897754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894678</w:t>
            </w:r>
          </w:p>
        </w:tc>
        <w:tc>
          <w:tcPr>
            <w:tcW w:w="75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891602</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890222</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888843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887463</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886084</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884705</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884584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884463</w:t>
            </w:r>
          </w:p>
        </w:tc>
        <w:tc>
          <w:tcPr>
            <w:tcW w:w="758"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884342</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884221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884101</w:t>
            </w:r>
          </w:p>
        </w:tc>
      </w:tr>
    </w:tbl>
    <w:p>
      <w:pPr>
        <w:pStyle w:val="Normal"/>
        <w:widowControl/>
        <w:spacing w:lineRule="auto" w:line="360" w:before="0" w:after="0"/>
        <w:textAlignment w:val="auto"/>
        <w:rPr>
          <w:rFonts w:cs="Arial"/>
          <w:sz w:val="24"/>
          <w:szCs w:val="24"/>
        </w:rPr>
      </w:pPr>
      <w:r>
        <w:rPr>
          <w:rFonts w:cs="Arial"/>
          <w:sz w:val="24"/>
          <w:szCs w:val="24"/>
        </w:rPr>
      </w:r>
    </w:p>
    <w:p>
      <w:pPr>
        <w:pStyle w:val="Normal"/>
        <w:widowControl/>
        <w:spacing w:lineRule="auto" w:line="360" w:before="0" w:after="0"/>
        <w:textAlignment w:val="auto"/>
        <w:rPr>
          <w:rFonts w:cs="Arial"/>
          <w:sz w:val="24"/>
          <w:szCs w:val="24"/>
        </w:rPr>
      </w:pPr>
      <w:r>
        <w:rPr>
          <w:rFonts w:cs="Arial"/>
          <w:sz w:val="24"/>
          <w:szCs w:val="24"/>
        </w:rPr>
        <w:t>В целом по муниципальному образованию прогнозируется рост нормативных утечек в связи с увеличением объема тепловых сетей и снижение сверхнормативных утечек в результате реализации мероприятий по реконструкции тепловых сетей.</w:t>
      </w:r>
    </w:p>
    <w:p>
      <w:pPr>
        <w:pStyle w:val="Normal"/>
        <w:rPr/>
      </w:pPr>
      <w:r>
        <w:rPr/>
      </w:r>
    </w:p>
    <w:p>
      <w:pPr>
        <w:sectPr>
          <w:headerReference w:type="default" r:id="rId40"/>
          <w:headerReference w:type="first" r:id="rId41"/>
          <w:footerReference w:type="default" r:id="rId42"/>
          <w:footerReference w:type="first" r:id="rId43"/>
          <w:type w:val="nextPage"/>
          <w:pgSz w:orient="landscape" w:w="16838" w:h="11906"/>
          <w:pgMar w:left="1134" w:right="1032" w:gutter="0" w:header="720" w:top="1701" w:footer="720" w:bottom="1134"/>
          <w:pgNumType w:fmt="decimal"/>
          <w:formProt w:val="false"/>
          <w:textDirection w:val="lrTb"/>
          <w:docGrid w:type="default" w:linePitch="299" w:charSpace="0"/>
        </w:sectPr>
        <w:pStyle w:val="Normal"/>
        <w:rPr/>
      </w:pPr>
      <w:r>
        <w:rPr/>
      </w:r>
    </w:p>
    <w:p>
      <w:pPr>
        <w:pStyle w:val="Heading2"/>
        <w:numPr>
          <w:ilvl w:val="1"/>
          <w:numId w:val="30"/>
        </w:numPr>
        <w:ind w:hanging="0" w:left="0"/>
        <w:rPr/>
      </w:pPr>
      <w:r>
        <w:rPr/>
        <w:t xml:space="preserve"> </w:t>
      </w:r>
      <w:bookmarkStart w:id="119" w:name="_Toc132981677"/>
      <w:r>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9"/>
    </w:p>
    <w:p>
      <w:pPr>
        <w:pStyle w:val="Normal"/>
        <w:rPr/>
      </w:pPr>
      <w:r>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балансы ВПУ и потребления теплоносителя по зонам теплоснабжения в МО «Город Калуга» приведены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pStyle w:val="Normal"/>
        <w:widowControl/>
        <w:spacing w:lineRule="auto" w:line="360" w:before="0" w:after="0"/>
        <w:textAlignment w:val="auto"/>
        <w:rPr>
          <w:rFonts w:cs="Arial"/>
          <w:sz w:val="24"/>
          <w:szCs w:val="24"/>
        </w:rPr>
      </w:pPr>
      <w:r>
        <w:rPr>
          <w:rFonts w:cs="Arial"/>
          <w:sz w:val="24"/>
          <w:szCs w:val="24"/>
        </w:rPr>
        <w:t>Суммарный перспективный баланс ВПУ и потребления теплоносителя по МО «Город Калуга» приведен в таблице 3.2.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 не менее 87% от номинальной производительности ВПУ в течение всего срока действия схемы теплоснабжения.</w:t>
      </w:r>
    </w:p>
    <w:p>
      <w:pPr>
        <w:sectPr>
          <w:headerReference w:type="default" r:id="rId44"/>
          <w:headerReference w:type="first" r:id="rId45"/>
          <w:footerReference w:type="even" r:id="rId46"/>
          <w:footerReference w:type="default" r:id="rId47"/>
          <w:footerReference w:type="first" r:id="rId48"/>
          <w:type w:val="nextPage"/>
          <w:pgSz w:w="11906" w:h="16838"/>
          <w:pgMar w:left="1701" w:right="1134" w:gutter="0" w:header="720" w:top="1032" w:footer="720" w:bottom="1134"/>
          <w:pgNumType w:fmt="decimal"/>
          <w:formProt w:val="false"/>
          <w:textDirection w:val="lrTb"/>
          <w:docGrid w:type="default" w:linePitch="100" w:charSpace="0"/>
        </w:sectPr>
        <w:pStyle w:val="Normal"/>
        <w:widowControl/>
        <w:spacing w:lineRule="auto" w:line="360" w:before="0" w:after="0"/>
        <w:textAlignment w:val="auto"/>
        <w:rPr>
          <w:rFonts w:cs="Arial"/>
          <w:sz w:val="24"/>
          <w:szCs w:val="24"/>
        </w:rPr>
      </w:pPr>
      <w:r>
        <w:rPr>
          <w:rFonts w:cs="Arial"/>
          <w:sz w:val="24"/>
          <w:szCs w:val="24"/>
        </w:rPr>
      </w:r>
    </w:p>
    <w:p>
      <w:pPr>
        <w:pStyle w:val="Normal"/>
        <w:ind w:hanging="0"/>
        <w:rPr>
          <w:b/>
          <w:bCs/>
          <w:color w:themeColor="text1" w:val="000000"/>
          <w:sz w:val="18"/>
          <w:szCs w:val="18"/>
        </w:rPr>
      </w:pPr>
      <w:bookmarkStart w:id="120" w:name="_Toc132971368"/>
      <w:r>
        <w:rPr>
          <w:b/>
          <w:bCs/>
          <w:color w:themeColor="text1" w:val="000000"/>
          <w:sz w:val="18"/>
          <w:szCs w:val="18"/>
        </w:rPr>
        <w:t>Таблица 3.</w:t>
      </w:r>
      <w:r>
        <w:rPr>
          <w:b/>
          <w:bCs/>
          <w:color w:themeColor="text1" w:val="000000"/>
          <w:sz w:val="18"/>
          <w:szCs w:val="18"/>
        </w:rPr>
        <w:fldChar w:fldCharType="begin"/>
      </w:r>
      <w:r>
        <w:rPr>
          <w:sz w:val="18"/>
          <w:b/>
          <w:szCs w:val="18"/>
          <w:bCs/>
          <w:color w:themeColor="text1" w:val="000000"/>
        </w:rPr>
        <w:instrText xml:space="preserve"> SEQ Таблица \* ARABIC </w:instrText>
      </w:r>
      <w:r>
        <w:rPr>
          <w:sz w:val="18"/>
          <w:b/>
          <w:szCs w:val="18"/>
          <w:bCs/>
          <w:color w:themeColor="text1" w:val="000000"/>
        </w:rPr>
        <w:fldChar w:fldCharType="separate"/>
      </w:r>
      <w:r>
        <w:rPr>
          <w:sz w:val="18"/>
          <w:b/>
          <w:szCs w:val="18"/>
          <w:bCs/>
          <w:color w:themeColor="text1" w:val="000000"/>
        </w:rPr>
        <w:t>2</w:t>
      </w:r>
      <w:r>
        <w:rPr>
          <w:sz w:val="18"/>
          <w:b/>
          <w:szCs w:val="18"/>
          <w:bCs/>
          <w:color w:themeColor="text1" w:val="000000"/>
        </w:rPr>
        <w:fldChar w:fldCharType="end"/>
      </w:r>
      <w:r>
        <w:rPr>
          <w:b/>
          <w:bCs/>
          <w:color w:themeColor="text1" w:val="000000"/>
          <w:sz w:val="18"/>
          <w:szCs w:val="18"/>
        </w:rPr>
        <w:t>. Суммарный перспективный баланс ВПУ и потребления теплоносителя по МО «Город Калуга»</w:t>
      </w:r>
      <w:bookmarkEnd w:id="120"/>
    </w:p>
    <w:tbl>
      <w:tblPr>
        <w:tblW w:w="5000" w:type="pct"/>
        <w:jc w:val="left"/>
        <w:tblInd w:w="0" w:type="dxa"/>
        <w:tblLayout w:type="fixed"/>
        <w:tblCellMar>
          <w:top w:w="0" w:type="dxa"/>
          <w:left w:w="28" w:type="dxa"/>
          <w:bottom w:w="0" w:type="dxa"/>
          <w:right w:w="28" w:type="dxa"/>
        </w:tblCellMar>
        <w:tblLook w:firstRow="1" w:noVBand="1" w:lastRow="0" w:firstColumn="1" w:lastColumn="0" w:noHBand="0" w:val="04a0"/>
      </w:tblPr>
      <w:tblGrid>
        <w:gridCol w:w="2410"/>
        <w:gridCol w:w="713"/>
        <w:gridCol w:w="713"/>
        <w:gridCol w:w="831"/>
        <w:gridCol w:w="713"/>
        <w:gridCol w:w="713"/>
        <w:gridCol w:w="713"/>
        <w:gridCol w:w="713"/>
        <w:gridCol w:w="714"/>
        <w:gridCol w:w="713"/>
        <w:gridCol w:w="713"/>
        <w:gridCol w:w="716"/>
        <w:gridCol w:w="718"/>
        <w:gridCol w:w="716"/>
        <w:gridCol w:w="716"/>
        <w:gridCol w:w="717"/>
        <w:gridCol w:w="716"/>
        <w:gridCol w:w="710"/>
      </w:tblGrid>
      <w:tr>
        <w:trPr>
          <w:trHeight w:val="300" w:hRule="atLeast"/>
        </w:trPr>
        <w:tc>
          <w:tcPr>
            <w:tcW w:w="24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bCs/>
                <w:color w:val="000000"/>
                <w:spacing w:val="0"/>
                <w:sz w:val="18"/>
                <w:szCs w:val="20"/>
                <w:lang w:eastAsia="ru-RU"/>
              </w:rPr>
            </w:pPr>
            <w:r>
              <w:rPr>
                <w:rFonts w:eastAsia="Times New Roman" w:cs="Arial"/>
                <w:b/>
                <w:bCs/>
                <w:color w:val="000000"/>
                <w:spacing w:val="0"/>
                <w:sz w:val="18"/>
                <w:szCs w:val="20"/>
                <w:lang w:eastAsia="ru-RU"/>
              </w:rPr>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2012</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2013</w:t>
            </w:r>
          </w:p>
        </w:tc>
        <w:tc>
          <w:tcPr>
            <w:tcW w:w="831"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2014</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2015</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2016</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2017</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2018</w:t>
            </w:r>
          </w:p>
        </w:tc>
        <w:tc>
          <w:tcPr>
            <w:tcW w:w="714"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2019</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2020</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2021</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2022</w:t>
            </w:r>
          </w:p>
        </w:tc>
        <w:tc>
          <w:tcPr>
            <w:tcW w:w="718"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2023</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2024</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2025</w:t>
            </w:r>
          </w:p>
        </w:tc>
        <w:tc>
          <w:tcPr>
            <w:tcW w:w="717"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2026</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2027</w:t>
            </w:r>
          </w:p>
        </w:tc>
        <w:tc>
          <w:tcPr>
            <w:tcW w:w="710"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b/>
                <w:color w:val="000000"/>
                <w:spacing w:val="0"/>
                <w:sz w:val="18"/>
                <w:lang w:eastAsia="ru-RU"/>
              </w:rPr>
            </w:pPr>
            <w:r>
              <w:rPr>
                <w:rFonts w:eastAsia="Times New Roman" w:cs="Calibri" w:ascii="Calibri" w:hAnsi="Calibri"/>
                <w:b/>
                <w:color w:val="000000"/>
                <w:spacing w:val="0"/>
                <w:sz w:val="18"/>
                <w:lang w:eastAsia="ru-RU"/>
              </w:rPr>
              <w:t>2028</w:t>
            </w:r>
          </w:p>
        </w:tc>
      </w:tr>
      <w:tr>
        <w:trPr>
          <w:trHeight w:val="525" w:hRule="atLeast"/>
        </w:trPr>
        <w:tc>
          <w:tcPr>
            <w:tcW w:w="2410"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Всего подпитка тепловой сети т/год:</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1087621</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1139903</w:t>
            </w:r>
          </w:p>
        </w:tc>
        <w:tc>
          <w:tcPr>
            <w:tcW w:w="831"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1141800,2</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1143697</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1145594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1148351</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1150471</w:t>
            </w:r>
          </w:p>
        </w:tc>
        <w:tc>
          <w:tcPr>
            <w:tcW w:w="714"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1155859</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1161246</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1166634</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1172022</w:t>
            </w:r>
          </w:p>
        </w:tc>
        <w:tc>
          <w:tcPr>
            <w:tcW w:w="71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1177410</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1179560</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1181710</w:t>
            </w:r>
          </w:p>
        </w:tc>
        <w:tc>
          <w:tcPr>
            <w:tcW w:w="71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1183860</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1186010</w:t>
            </w:r>
          </w:p>
        </w:tc>
        <w:tc>
          <w:tcPr>
            <w:tcW w:w="71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1188160</w:t>
            </w:r>
          </w:p>
        </w:tc>
      </w:tr>
      <w:tr>
        <w:trPr>
          <w:trHeight w:val="525" w:hRule="atLeast"/>
        </w:trPr>
        <w:tc>
          <w:tcPr>
            <w:tcW w:w="2410"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Среднечасовая подпитка ТС, в эксплуатационном режиме, т/ч</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124,2</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130,1</w:t>
            </w:r>
          </w:p>
        </w:tc>
        <w:tc>
          <w:tcPr>
            <w:tcW w:w="831"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130,3</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130,6</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130,8</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131,1</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131,3</w:t>
            </w:r>
          </w:p>
        </w:tc>
        <w:tc>
          <w:tcPr>
            <w:tcW w:w="714"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131,9</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132,6</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133,2</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133,8</w:t>
            </w:r>
          </w:p>
        </w:tc>
        <w:tc>
          <w:tcPr>
            <w:tcW w:w="71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134,4</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134,7</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134,9</w:t>
            </w:r>
          </w:p>
        </w:tc>
        <w:tc>
          <w:tcPr>
            <w:tcW w:w="71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135,1</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135,4</w:t>
            </w:r>
          </w:p>
        </w:tc>
        <w:tc>
          <w:tcPr>
            <w:tcW w:w="71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135,6</w:t>
            </w:r>
          </w:p>
        </w:tc>
      </w:tr>
      <w:tr>
        <w:trPr>
          <w:trHeight w:val="525" w:hRule="atLeast"/>
        </w:trPr>
        <w:tc>
          <w:tcPr>
            <w:tcW w:w="2410"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Номинальная производительность ВПУ, т/ч</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831"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1105,7</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1105,7</w:t>
            </w:r>
          </w:p>
        </w:tc>
        <w:tc>
          <w:tcPr>
            <w:tcW w:w="714"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r>
      <w:tr>
        <w:trPr>
          <w:trHeight w:val="525" w:hRule="atLeast"/>
        </w:trPr>
        <w:tc>
          <w:tcPr>
            <w:tcW w:w="2410"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Резерв/дефицит мощности ВПУ в эксплуатационном режиме, т/ч</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977,2</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971,3</w:t>
            </w:r>
          </w:p>
        </w:tc>
        <w:tc>
          <w:tcPr>
            <w:tcW w:w="831"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971,1</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970,8</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970,6</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974,6</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974,4</w:t>
            </w:r>
          </w:p>
        </w:tc>
        <w:tc>
          <w:tcPr>
            <w:tcW w:w="714"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977,1</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976,4</w:t>
            </w:r>
          </w:p>
        </w:tc>
        <w:tc>
          <w:tcPr>
            <w:tcW w:w="713"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975,8</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975,2</w:t>
            </w:r>
          </w:p>
        </w:tc>
        <w:tc>
          <w:tcPr>
            <w:tcW w:w="718"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974,6</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974,3</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974,1</w:t>
            </w:r>
          </w:p>
        </w:tc>
        <w:tc>
          <w:tcPr>
            <w:tcW w:w="717"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973,9</w:t>
            </w:r>
          </w:p>
        </w:tc>
        <w:tc>
          <w:tcPr>
            <w:tcW w:w="716"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973,6</w:t>
            </w:r>
          </w:p>
        </w:tc>
        <w:tc>
          <w:tcPr>
            <w:tcW w:w="710" w:type="dxa"/>
            <w:tcBorders>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973,4</w:t>
            </w:r>
          </w:p>
        </w:tc>
      </w:tr>
    </w:tbl>
    <w:p>
      <w:pPr>
        <w:sectPr>
          <w:headerReference w:type="default" r:id="rId49"/>
          <w:headerReference w:type="first" r:id="rId50"/>
          <w:footerReference w:type="default" r:id="rId51"/>
          <w:footerReference w:type="first" r:id="rId52"/>
          <w:type w:val="nextPage"/>
          <w:pgSz w:orient="landscape" w:w="16838" w:h="11906"/>
          <w:pgMar w:left="1032" w:right="1134" w:gutter="0" w:header="720" w:top="1134" w:footer="720" w:bottom="1701"/>
          <w:pgNumType w:fmt="decimal"/>
          <w:formProt w:val="false"/>
          <w:textDirection w:val="lrTb"/>
          <w:docGrid w:type="default" w:linePitch="299" w:charSpace="0"/>
        </w:sectPr>
      </w:pPr>
    </w:p>
    <w:p>
      <w:pPr>
        <w:pStyle w:val="Heading2"/>
        <w:numPr>
          <w:ilvl w:val="1"/>
          <w:numId w:val="30"/>
        </w:numPr>
        <w:ind w:hanging="0" w:left="0"/>
        <w:jc w:val="center"/>
        <w:rPr/>
      </w:pPr>
      <w:r>
        <w:rPr/>
        <w:t xml:space="preserve"> </w:t>
      </w:r>
      <w:bookmarkStart w:id="121" w:name="_Toc132981678"/>
      <w:r>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1"/>
    </w:p>
    <w:p>
      <w:pPr>
        <w:pStyle w:val="Normal"/>
        <w:spacing w:lineRule="auto" w:line="360"/>
        <w:rPr>
          <w:sz w:val="24"/>
          <w:szCs w:val="24"/>
          <w:lang w:eastAsia="ru-RU"/>
        </w:rPr>
      </w:pPr>
      <w:r>
        <w:rPr>
          <w:sz w:val="24"/>
          <w:szCs w:val="24"/>
          <w:lang w:eastAsia="ru-RU"/>
        </w:rPr>
      </w:r>
    </w:p>
    <w:p>
      <w:pPr>
        <w:pStyle w:val="Normal"/>
        <w:spacing w:lineRule="auto" w:line="360"/>
        <w:ind w:firstLine="709"/>
        <w:rPr>
          <w:sz w:val="24"/>
        </w:rPr>
      </w:pPr>
      <w:r>
        <w:rPr>
          <w:sz w:val="24"/>
        </w:rPr>
        <w:t>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pPr>
        <w:pStyle w:val="Normal"/>
        <w:spacing w:lineRule="auto" w:line="360"/>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3.3.</w:t>
      </w:r>
    </w:p>
    <w:p>
      <w:pPr>
        <w:pStyle w:val="Normal"/>
        <w:spacing w:lineRule="auto" w:line="360"/>
        <w:ind w:firstLine="709"/>
        <w:rPr>
          <w:sz w:val="24"/>
        </w:rPr>
      </w:pPr>
      <w:r>
        <w:rPr>
          <w:sz w:val="24"/>
        </w:rPr>
      </w:r>
    </w:p>
    <w:p>
      <w:pPr>
        <w:pStyle w:val="Caption"/>
        <w:rPr>
          <w:sz w:val="22"/>
        </w:rPr>
      </w:pPr>
      <w:bookmarkStart w:id="122" w:name="_Toc132971369"/>
      <w:bookmarkStart w:id="123" w:name="_Toc374371950"/>
      <w:bookmarkStart w:id="124" w:name="_Toc371077746"/>
      <w:r>
        <w:rPr>
          <w:sz w:val="22"/>
        </w:rPr>
        <w:t>Таблица 3.</w:t>
      </w:r>
      <w:r>
        <w:rPr>
          <w:sz w:val="22"/>
        </w:rPr>
        <w:fldChar w:fldCharType="begin"/>
      </w:r>
      <w:r>
        <w:rPr>
          <w:sz w:val="22"/>
        </w:rPr>
        <w:instrText xml:space="preserve"> SEQ Таблица \* ARABIC </w:instrText>
      </w:r>
      <w:r>
        <w:rPr>
          <w:sz w:val="22"/>
        </w:rPr>
        <w:fldChar w:fldCharType="separate"/>
      </w:r>
      <w:r>
        <w:rPr>
          <w:sz w:val="22"/>
        </w:rPr>
        <w:t>3</w:t>
      </w:r>
      <w:r>
        <w:rPr>
          <w:sz w:val="22"/>
        </w:rPr>
        <w:fldChar w:fldCharType="end"/>
      </w:r>
      <w:r>
        <w:rPr>
          <w:sz w:val="22"/>
        </w:rPr>
        <w:t>. Расчет необходимой аварийной подпитки в соответствии со СНиП 41-02-2003 «Тепловые сети»</w:t>
      </w:r>
      <w:bookmarkEnd w:id="122"/>
      <w:bookmarkEnd w:id="123"/>
      <w:bookmarkEnd w:id="124"/>
    </w:p>
    <w:tbl>
      <w:tblPr>
        <w:tblW w:w="9002" w:type="dxa"/>
        <w:jc w:val="left"/>
        <w:tblInd w:w="103" w:type="dxa"/>
        <w:tblLayout w:type="fixed"/>
        <w:tblCellMar>
          <w:top w:w="0" w:type="dxa"/>
          <w:left w:w="108" w:type="dxa"/>
          <w:bottom w:w="0" w:type="dxa"/>
          <w:right w:w="108" w:type="dxa"/>
        </w:tblCellMar>
        <w:tblLook w:firstRow="1" w:noVBand="1" w:lastRow="0" w:firstColumn="1" w:lastColumn="0" w:noHBand="0" w:val="04a0"/>
      </w:tblPr>
      <w:tblGrid>
        <w:gridCol w:w="5002"/>
        <w:gridCol w:w="1479"/>
        <w:gridCol w:w="2521"/>
      </w:tblGrid>
      <w:tr>
        <w:trPr>
          <w:tblHeader w:val="true"/>
          <w:trHeight w:val="253" w:hRule="atLeast"/>
          <w:cantSplit w:val="true"/>
        </w:trPr>
        <w:tc>
          <w:tcPr>
            <w:tcW w:w="50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lang w:eastAsia="ru-RU"/>
              </w:rPr>
            </w:pPr>
            <w:r>
              <w:rPr>
                <w:rFonts w:eastAsia="Times New Roman" w:cs="Arial"/>
                <w:b/>
                <w:color w:val="000000"/>
                <w:spacing w:val="0"/>
                <w:sz w:val="20"/>
                <w:lang w:eastAsia="ru-RU"/>
              </w:rPr>
              <w:t>Источник</w:t>
            </w:r>
          </w:p>
        </w:tc>
        <w:tc>
          <w:tcPr>
            <w:tcW w:w="147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lang w:eastAsia="ru-RU"/>
              </w:rPr>
            </w:pPr>
            <w:r>
              <w:rPr>
                <w:rFonts w:eastAsia="Times New Roman" w:cs="Arial"/>
                <w:b/>
                <w:color w:val="000000"/>
                <w:spacing w:val="0"/>
                <w:sz w:val="20"/>
                <w:lang w:eastAsia="ru-RU"/>
              </w:rPr>
              <w:t>Объем ТС</w:t>
            </w:r>
          </w:p>
        </w:tc>
        <w:tc>
          <w:tcPr>
            <w:tcW w:w="252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vertAlign w:val="superscript"/>
                <w:lang w:eastAsia="ru-RU"/>
              </w:rPr>
            </w:pPr>
            <w:r>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trPr>
          <w:trHeight w:val="253" w:hRule="atLeast"/>
          <w:cantSplit w:val="true"/>
        </w:trPr>
        <w:tc>
          <w:tcPr>
            <w:tcW w:w="500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147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252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101.63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28.35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Вилонова,40</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145.81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2-ой Тульский пер.,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107.97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Тульская, 78в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85.98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Чижевского, 12а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37.70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 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5.43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Школьная, 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57.76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Московская, 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67.88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Московская, 14</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90.66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Никитина, 95б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188.75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3.77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Кирова, 67а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12.59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Мичурина, 9в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67.70</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с.Росва, ул.Московская, 9а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99.95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10.80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ул.Кутузова, 4а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164.69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33.80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Беговая, 15</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74.53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 3</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22.46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255.88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ул.Калуга-Бор, 15а      </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ул.Светлая, 58</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55.92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с.Сосновый Бор, 10а    </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12.07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ул.Советская, 20в        </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261.98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ул.Гвардейская, 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46.86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0.94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Pr>
                <w:rFonts w:eastAsia="Times New Roman" w:cs="Arial"/>
                <w:spacing w:val="0"/>
                <w:sz w:val="20"/>
                <w:szCs w:val="20"/>
                <w:lang w:eastAsia="ru-RU"/>
              </w:rPr>
              <w:t>Подвойского, 7</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83.89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1.68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 131а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108.23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105.60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Пер.Аэропортовский, 1а </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191.00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3.82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51.57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ул.М.Горького, 1б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74.07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 26а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46.22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0.92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Pr>
                <w:rFonts w:eastAsia="Times New Roman" w:cs="Arial"/>
                <w:spacing w:val="0"/>
                <w:sz w:val="20"/>
                <w:szCs w:val="20"/>
                <w:lang w:eastAsia="ru-RU"/>
              </w:rPr>
              <w:t>Московская, 115а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76.98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 171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ул.Аэропортовская, в/ч 15506</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23а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229.04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4.58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ул.Телевизионная, 2д</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11.30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ул.Кожедуба, 11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31.73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61.62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 60а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147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76.79</w:t>
            </w:r>
          </w:p>
        </w:tc>
        <w:tc>
          <w:tcPr>
            <w:tcW w:w="2521"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ул.Широкая, 51б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6.64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ул.Новая стройка, 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ул.Пухова,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78.43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 231а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19.82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FFFFFF" w:themeFill="background1"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1479"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ул.Взлетная, 46</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59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30.34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ул.Маршала Жукова, 40а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59.11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ул.Социалистическая, 2а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178.76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3.58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77а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53.52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 6б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126.97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ул.Байконурская, 11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154.77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 17а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294.18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5.88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 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101.56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299в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 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61.70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50.24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55.81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 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280.39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5.61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ул.Советская, 3б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2.30</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3303.84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66.08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 12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40.29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д.Шопино</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104.26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д.Колюпаново, 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62.07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ул.Тульское шоссе, 28а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25.26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ул.Одоевское шоссе,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11.69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65 лет Победы, 51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41.29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0.83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ТЭЦ-1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888.50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17.77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Малинники</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4.45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Новый источник № 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955.94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Новый источник № 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271.65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5.43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40.59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0.81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Дорожная, 25</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27,22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Полесская, 3</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29,53</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Ю. Круглова, 3</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Ромодановские Дворики,61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74,99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Грабцевское шоссе, 115а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327,7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6,55</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Малинники, 21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2784,6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55,7</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Грабцевское шоссе, 115 стр.21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Ермоловская,96</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w:t>
            </w:r>
          </w:p>
        </w:tc>
      </w:tr>
    </w:tbl>
    <w:p>
      <w:pPr>
        <w:pStyle w:val="Normal"/>
        <w:spacing w:lineRule="auto" w:line="360"/>
        <w:rPr>
          <w:sz w:val="24"/>
          <w:szCs w:val="24"/>
          <w:lang w:eastAsia="ru-RU"/>
        </w:rPr>
      </w:pPr>
      <w:r>
        <w:rPr>
          <w:sz w:val="24"/>
          <w:szCs w:val="24"/>
          <w:lang w:eastAsia="ru-RU"/>
        </w:rPr>
      </w:r>
    </w:p>
    <w:p>
      <w:pPr>
        <w:pStyle w:val="Normal"/>
        <w:widowControl/>
        <w:spacing w:before="0" w:after="0"/>
        <w:ind w:hanging="0"/>
        <w:jc w:val="left"/>
        <w:textAlignment w:val="auto"/>
        <w:rPr>
          <w:sz w:val="24"/>
          <w:szCs w:val="24"/>
          <w:lang w:eastAsia="ru-RU"/>
        </w:rPr>
      </w:pPr>
      <w:r>
        <w:rPr>
          <w:sz w:val="24"/>
          <w:szCs w:val="24"/>
          <w:lang w:eastAsia="ru-RU"/>
        </w:rPr>
      </w:r>
      <w:r>
        <w:br w:type="page"/>
      </w:r>
    </w:p>
    <w:p>
      <w:pPr>
        <w:pStyle w:val="Heading2"/>
        <w:numPr>
          <w:ilvl w:val="1"/>
          <w:numId w:val="30"/>
        </w:numPr>
        <w:spacing w:before="0" w:after="120"/>
        <w:ind w:hanging="0" w:left="0"/>
        <w:jc w:val="center"/>
        <w:rPr/>
      </w:pPr>
      <w:r>
        <w:rPr/>
        <w:t xml:space="preserve"> </w:t>
      </w:r>
      <w:bookmarkStart w:id="125" w:name="_Toc132981679"/>
      <w:r>
        <w:rPr/>
        <w:t>Мероприятия по переводу потребителей с зависимой схемы теплоснабжения на независимую</w:t>
      </w:r>
      <w:bookmarkEnd w:id="125"/>
    </w:p>
    <w:p>
      <w:pPr>
        <w:pStyle w:val="Normal"/>
        <w:rPr/>
      </w:pPr>
      <w:r>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 xml:space="preserve">Общая стоимость реализации проекта составляет 622,2 млн руб. </w:t>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В таблице 3.4 представлены капитальные затраты на перевод потребителей с зависимой схемы теплоснабжения на независимую по зонам действия источников тепловой энергии.</w:t>
      </w:r>
    </w:p>
    <w:p>
      <w:pPr>
        <w:pStyle w:val="Normal"/>
        <w:widowControl/>
        <w:spacing w:lineRule="auto" w:line="360" w:before="0" w:after="0"/>
        <w:textAlignment w:val="auto"/>
        <w:rPr>
          <w:rFonts w:cs="Arial"/>
          <w:sz w:val="24"/>
          <w:szCs w:val="24"/>
        </w:rPr>
      </w:pPr>
      <w:r>
        <w:rPr>
          <w:rFonts w:eastAsia="Times New Roman"/>
          <w:kern w:val="2"/>
          <w:sz w:val="24"/>
          <w:lang w:eastAsia="ru-RU"/>
        </w:rPr>
        <w:t>Расчет затрат на данную группу проектов приведен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pStyle w:val="Normal"/>
        <w:widowControl/>
        <w:spacing w:lineRule="auto" w:line="360" w:before="0" w:after="0"/>
        <w:textAlignment w:val="auto"/>
        <w:rPr>
          <w:rFonts w:cs="Arial"/>
          <w:sz w:val="24"/>
          <w:szCs w:val="24"/>
        </w:rPr>
      </w:pPr>
      <w:r>
        <w:rPr>
          <w:rFonts w:cs="Arial"/>
          <w:sz w:val="24"/>
          <w:szCs w:val="24"/>
        </w:rPr>
      </w:r>
    </w:p>
    <w:p>
      <w:pPr>
        <w:pStyle w:val="Caption"/>
        <w:rPr/>
      </w:pPr>
      <w:bookmarkStart w:id="126" w:name="_Toc132971370"/>
      <w:bookmarkStart w:id="127" w:name="_Toc374371951"/>
      <w:r>
        <w:rPr/>
        <w:t>Таблица 3.</w:t>
      </w:r>
      <w:r>
        <w:rPr/>
        <w:fldChar w:fldCharType="begin"/>
      </w:r>
      <w:r>
        <w:rPr/>
        <w:instrText xml:space="preserve"> SEQ Таблица \* ARABIC </w:instrText>
      </w:r>
      <w:r>
        <w:rPr/>
        <w:fldChar w:fldCharType="separate"/>
      </w:r>
      <w:r>
        <w:rPr/>
        <w:t>4</w:t>
      </w:r>
      <w:r>
        <w:rPr/>
        <w:fldChar w:fldCharType="end"/>
      </w:r>
      <w:r>
        <w:rPr/>
        <w:t>. Сводные капитальные затраты на установку БИТП</w:t>
      </w:r>
      <w:bookmarkEnd w:id="126"/>
      <w:bookmarkEnd w:id="127"/>
    </w:p>
    <w:tbl>
      <w:tblPr>
        <w:tblW w:w="9196" w:type="dxa"/>
        <w:jc w:val="left"/>
        <w:tblInd w:w="91" w:type="dxa"/>
        <w:tblLayout w:type="fixed"/>
        <w:tblCellMar>
          <w:top w:w="0" w:type="dxa"/>
          <w:left w:w="108" w:type="dxa"/>
          <w:bottom w:w="0" w:type="dxa"/>
          <w:right w:w="108" w:type="dxa"/>
        </w:tblCellMar>
        <w:tblLook w:firstRow="1" w:noVBand="1" w:lastRow="0" w:firstColumn="1" w:lastColumn="0" w:noHBand="0" w:val="04a0"/>
      </w:tblPr>
      <w:tblGrid>
        <w:gridCol w:w="3135"/>
        <w:gridCol w:w="1985"/>
        <w:gridCol w:w="2409"/>
        <w:gridCol w:w="1666"/>
      </w:tblGrid>
      <w:tr>
        <w:trPr>
          <w:trHeight w:val="1500"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Источник теплоснабжения</w:t>
            </w:r>
          </w:p>
        </w:tc>
        <w:tc>
          <w:tcPr>
            <w:tcW w:w="19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0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Суммарные капитальные затраты, млн руб.</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1-й Академический пр., 29</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36</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19,5</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38,8</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 Андриановой, 5а</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15</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3,1</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13,8</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 Восстания, 12</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258</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79,3</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252,7</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Вилонова, 40</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34</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11,8</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33,9</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 Воскресенский, 2б</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1,3</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9,7</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Кибальчича, 17а</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46</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14,2</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45,4</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174 </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33</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11,4</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32,7</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Ленина, 26а</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3,8</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М.Горького, 1б</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48</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17,4</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48,5</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Пролетарская, 125</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26</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3,0</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22,4</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51</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16,2</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49,0</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Советская, 20в</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32</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7,6</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29,8</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Хрустальная, 18а</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40</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28,6</w:t>
            </w:r>
          </w:p>
        </w:tc>
        <w:tc>
          <w:tcPr>
            <w:tcW w:w="1666"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41,6</w:t>
            </w:r>
          </w:p>
        </w:tc>
      </w:tr>
      <w:tr>
        <w:trPr>
          <w:trHeight w:val="300" w:hRule="atLeast"/>
          <w:cantSplit w:val="true"/>
        </w:trPr>
        <w:tc>
          <w:tcPr>
            <w:tcW w:w="313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lang w:eastAsia="ru-RU"/>
              </w:rPr>
            </w:pPr>
            <w:r>
              <w:rPr>
                <w:rFonts w:eastAsia="Times New Roman" w:cs="Arial"/>
                <w:b/>
                <w:color w:val="000000"/>
                <w:spacing w:val="0"/>
                <w:lang w:eastAsia="ru-RU"/>
              </w:rPr>
              <w:t>Итого</w:t>
            </w:r>
          </w:p>
        </w:tc>
        <w:tc>
          <w:tcPr>
            <w:tcW w:w="19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lang w:eastAsia="ru-RU"/>
              </w:rPr>
            </w:pPr>
            <w:r>
              <w:rPr>
                <w:rFonts w:eastAsia="Times New Roman" w:cs="Arial"/>
                <w:b/>
                <w:color w:val="000000"/>
                <w:spacing w:val="0"/>
                <w:lang w:eastAsia="ru-RU"/>
              </w:rPr>
              <w:t>634</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lang w:eastAsia="ru-RU"/>
              </w:rPr>
            </w:pPr>
            <w:r>
              <w:rPr>
                <w:rFonts w:eastAsia="Times New Roman" w:cs="Arial"/>
                <w:b/>
                <w:color w:val="000000"/>
                <w:spacing w:val="0"/>
                <w:lang w:eastAsia="ru-RU"/>
              </w:rPr>
              <w:t>214,5</w:t>
            </w:r>
          </w:p>
        </w:tc>
        <w:tc>
          <w:tcPr>
            <w:tcW w:w="166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lang w:eastAsia="ru-RU"/>
              </w:rPr>
            </w:pPr>
            <w:r>
              <w:rPr>
                <w:rFonts w:eastAsia="Times New Roman" w:cs="Arial"/>
                <w:b/>
                <w:color w:val="000000"/>
                <w:spacing w:val="0"/>
                <w:lang w:eastAsia="ru-RU"/>
              </w:rPr>
              <w:t>622,2</w:t>
            </w:r>
          </w:p>
        </w:tc>
      </w:tr>
    </w:tbl>
    <w:p>
      <w:pPr>
        <w:pStyle w:val="Normal"/>
        <w:rPr/>
      </w:pPr>
      <w:r>
        <w:rPr/>
      </w:r>
    </w:p>
    <w:p>
      <w:pPr>
        <w:pStyle w:val="Normal"/>
        <w:rPr/>
      </w:pPr>
      <w:r>
        <w:rPr/>
      </w:r>
    </w:p>
    <w:p>
      <w:pPr>
        <w:pStyle w:val="Normal"/>
        <w:rPr/>
      </w:pPr>
      <w:r>
        <w:rPr/>
      </w:r>
    </w:p>
    <w:p>
      <w:pPr>
        <w:pStyle w:val="Heading1"/>
        <w:numPr>
          <w:ilvl w:val="0"/>
          <w:numId w:val="0"/>
        </w:numPr>
        <w:pBdr>
          <w:top w:val="single" w:sz="48" w:space="3" w:color="FFFFFF"/>
          <w:left w:val="single" w:sz="6" w:space="1" w:color="FFFFFF"/>
          <w:bottom w:val="single" w:sz="6" w:space="3" w:color="FFFFFF"/>
        </w:pBdr>
        <w:ind w:hanging="0" w:left="0"/>
        <w:jc w:val="center"/>
        <w:rPr>
          <w:rFonts w:cs="Arial"/>
          <w:szCs w:val="22"/>
          <w:lang w:eastAsia="ru-RU"/>
        </w:rPr>
      </w:pPr>
      <w:bookmarkStart w:id="128" w:name="_Toc132981680"/>
      <w:r>
        <w:rPr>
          <w:lang w:eastAsia="ru-RU"/>
        </w:rPr>
        <w:t>РАЗДЕЛ 4</w:t>
      </w:r>
      <w:bookmarkStart w:id="129" w:name="_Toc336021277"/>
      <w:r>
        <w:rPr>
          <w:lang w:eastAsia="ru-RU"/>
        </w:rPr>
        <w:t xml:space="preserve">. ОСНОВНЫЕ ПОЛОЖЕНИЯ МАСТЕР - ПЛАНА РАЗВИТИЯ </w:t>
      </w:r>
      <w:r>
        <w:rPr>
          <w:rFonts w:cs="Arial"/>
          <w:szCs w:val="22"/>
          <w:lang w:eastAsia="ru-RU"/>
        </w:rPr>
        <w:t>СИСТЕМЫ ТЕПЛОСНАБЖЕНИЯ ГОРОДСКОГО ОКРУГА</w:t>
      </w:r>
      <w:bookmarkEnd w:id="128"/>
    </w:p>
    <w:p>
      <w:pPr>
        <w:pStyle w:val="Normal"/>
        <w:rPr>
          <w:lang w:eastAsia="ru-RU"/>
        </w:rPr>
      </w:pPr>
      <w:r>
        <w:rPr>
          <w:lang w:eastAsia="ru-RU"/>
        </w:rPr>
      </w:r>
    </w:p>
    <w:p>
      <w:pPr>
        <w:pStyle w:val="Normal"/>
        <w:spacing w:lineRule="auto" w:line="360"/>
        <w:rPr>
          <w:rFonts w:cs="Arial"/>
          <w:sz w:val="24"/>
          <w:szCs w:val="24"/>
          <w:lang w:eastAsia="ru-RU"/>
        </w:rPr>
      </w:pPr>
      <w:r>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pPr>
        <w:pStyle w:val="Normal"/>
        <w:spacing w:lineRule="auto" w:line="360"/>
        <w:rPr>
          <w:rFonts w:cs="Arial"/>
          <w:sz w:val="24"/>
          <w:szCs w:val="24"/>
          <w:lang w:eastAsia="ru-RU"/>
        </w:rPr>
      </w:pPr>
      <w:r>
        <w:rPr>
          <w:rFonts w:cs="Arial"/>
          <w:sz w:val="24"/>
          <w:szCs w:val="24"/>
          <w:lang w:eastAsia="ru-RU"/>
        </w:rPr>
        <w:t>В основу разработки сценариев (вариантов), включаемых в мастер-план, положены следующие основные положения:</w:t>
      </w:r>
    </w:p>
    <w:p>
      <w:pPr>
        <w:pStyle w:val="Normal"/>
        <w:numPr>
          <w:ilvl w:val="0"/>
          <w:numId w:val="13"/>
        </w:numPr>
        <w:spacing w:lineRule="auto" w:line="360"/>
        <w:rPr>
          <w:rFonts w:cs="Arial"/>
          <w:sz w:val="24"/>
          <w:szCs w:val="24"/>
          <w:lang w:eastAsia="ru-RU"/>
        </w:rPr>
      </w:pPr>
      <w:r>
        <w:rPr>
          <w:rFonts w:cs="Arial"/>
          <w:sz w:val="24"/>
          <w:szCs w:val="24"/>
          <w:lang w:eastAsia="ru-RU"/>
        </w:rPr>
        <w:t>Требования существующего законодательства, в частности, Федерального закона от 27.07.2010  № 190-ФЗ «О теплоснабжении» и Федерального закона от 07.12.2011 № 416-ФЗ «О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от 07.12.2011 № 417-ФЗ «О водоснабжении и водоотведении»);</w:t>
      </w:r>
    </w:p>
    <w:p>
      <w:pPr>
        <w:pStyle w:val="Normal"/>
        <w:numPr>
          <w:ilvl w:val="0"/>
          <w:numId w:val="13"/>
        </w:numPr>
        <w:spacing w:lineRule="auto" w:line="360"/>
        <w:rPr>
          <w:rFonts w:cs="Arial"/>
          <w:sz w:val="24"/>
          <w:szCs w:val="24"/>
          <w:lang w:eastAsia="ru-RU"/>
        </w:rPr>
      </w:pPr>
      <w:r>
        <w:rPr>
          <w:rFonts w:cs="Arial"/>
          <w:sz w:val="24"/>
          <w:szCs w:val="24"/>
          <w:lang w:eastAsia="ru-RU"/>
        </w:rPr>
        <w:t>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 224 (далее по тексту – «Схема и программа развития электроэнергетики…»);</w:t>
      </w:r>
    </w:p>
    <w:p>
      <w:pPr>
        <w:pStyle w:val="Normal"/>
        <w:numPr>
          <w:ilvl w:val="0"/>
          <w:numId w:val="13"/>
        </w:numPr>
        <w:spacing w:lineRule="auto" w:line="360"/>
        <w:rPr>
          <w:rFonts w:cs="Arial"/>
          <w:sz w:val="24"/>
          <w:szCs w:val="24"/>
          <w:lang w:eastAsia="ru-RU"/>
        </w:rPr>
      </w:pPr>
      <w:r>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pPr>
        <w:pStyle w:val="Normal"/>
        <w:numPr>
          <w:ilvl w:val="0"/>
          <w:numId w:val="13"/>
        </w:numPr>
        <w:spacing w:lineRule="auto" w:line="360"/>
        <w:rPr>
          <w:rFonts w:cs="Arial"/>
          <w:sz w:val="24"/>
          <w:szCs w:val="24"/>
          <w:lang w:eastAsia="ru-RU"/>
        </w:rPr>
      </w:pPr>
      <w:r>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pPr>
        <w:pStyle w:val="Normal"/>
        <w:numPr>
          <w:ilvl w:val="0"/>
          <w:numId w:val="13"/>
        </w:numPr>
        <w:spacing w:lineRule="auto" w:line="360"/>
        <w:rPr>
          <w:rFonts w:cs="Arial"/>
          <w:sz w:val="24"/>
          <w:szCs w:val="24"/>
          <w:lang w:eastAsia="ru-RU"/>
        </w:rPr>
      </w:pPr>
      <w:r>
        <w:rPr>
          <w:rFonts w:cs="Arial"/>
          <w:sz w:val="24"/>
          <w:szCs w:val="24"/>
          <w:lang w:eastAsia="ru-RU"/>
        </w:rPr>
        <w:t>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Федерального закона   от 27.07.2010  № 190-ФЗ «О теплоснабжении»;</w:t>
      </w:r>
    </w:p>
    <w:p>
      <w:pPr>
        <w:pStyle w:val="Normal"/>
        <w:numPr>
          <w:ilvl w:val="0"/>
          <w:numId w:val="13"/>
        </w:numPr>
        <w:spacing w:lineRule="auto" w:line="360"/>
        <w:rPr>
          <w:rFonts w:cs="Arial"/>
          <w:sz w:val="24"/>
          <w:szCs w:val="24"/>
          <w:lang w:eastAsia="ru-RU"/>
        </w:rPr>
      </w:pPr>
      <w:r>
        <w:rPr>
          <w:rFonts w:cs="Arial"/>
          <w:sz w:val="24"/>
          <w:szCs w:val="24"/>
          <w:lang w:eastAsia="ru-RU"/>
        </w:rPr>
        <w:t>Предложения по развитию системы теплоснабжения муниципального</w:t>
      </w:r>
    </w:p>
    <w:p>
      <w:pPr>
        <w:pStyle w:val="Normal"/>
        <w:numPr>
          <w:ilvl w:val="0"/>
          <w:numId w:val="13"/>
        </w:numPr>
        <w:spacing w:lineRule="auto" w:line="360" w:before="120" w:after="120"/>
        <w:contextualSpacing/>
        <w:rPr>
          <w:rFonts w:cs="Arial"/>
          <w:sz w:val="24"/>
          <w:szCs w:val="24"/>
          <w:lang w:eastAsia="ru-RU"/>
        </w:rPr>
      </w:pPr>
      <w:r>
        <w:rPr>
          <w:rFonts w:cs="Arial"/>
          <w:sz w:val="24"/>
          <w:szCs w:val="24"/>
          <w:lang w:eastAsia="ru-RU"/>
        </w:rPr>
        <w:t>образования «Город Калуга», утвержденные в Генеральном плане муниципального образования;</w:t>
      </w:r>
    </w:p>
    <w:p>
      <w:pPr>
        <w:pStyle w:val="Normal"/>
        <w:numPr>
          <w:ilvl w:val="0"/>
          <w:numId w:val="13"/>
        </w:numPr>
        <w:spacing w:lineRule="auto" w:line="360" w:before="120" w:after="120"/>
        <w:contextualSpacing/>
        <w:rPr>
          <w:rFonts w:cs="Arial"/>
          <w:sz w:val="24"/>
          <w:szCs w:val="24"/>
          <w:lang w:eastAsia="ru-RU"/>
        </w:rPr>
      </w:pPr>
      <w:r>
        <w:rPr>
          <w:rFonts w:cs="Arial"/>
          <w:sz w:val="24"/>
          <w:szCs w:val="24"/>
          <w:lang w:eastAsia="ru-RU"/>
        </w:rPr>
        <w:t xml:space="preserve">Предложения по развитию системы теплоснабжения города Калуги, утвержденные в рамках проведенного 31.07.2013 совещания между МУП «Калугатеплосеть» г. Калуги и разработчиком схемы теплоснабжения. </w:t>
      </w:r>
    </w:p>
    <w:p>
      <w:pPr>
        <w:pStyle w:val="Normal"/>
        <w:spacing w:lineRule="auto" w:line="360"/>
        <w:rPr>
          <w:rFonts w:cs="Arial"/>
          <w:sz w:val="24"/>
          <w:szCs w:val="24"/>
          <w:lang w:eastAsia="ru-RU"/>
        </w:rPr>
      </w:pPr>
      <w:r>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 - плана.</w:t>
      </w:r>
    </w:p>
    <w:p>
      <w:pPr>
        <w:pStyle w:val="Normal"/>
        <w:spacing w:lineRule="auto" w:line="360"/>
        <w:rPr>
          <w:rFonts w:cs="Arial"/>
          <w:sz w:val="24"/>
          <w:szCs w:val="24"/>
          <w:lang w:eastAsia="ru-RU"/>
        </w:rPr>
      </w:pPr>
      <w:r>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pPr>
        <w:pStyle w:val="Normal"/>
        <w:spacing w:lineRule="auto" w:line="360"/>
        <w:rPr>
          <w:rFonts w:cs="Arial"/>
          <w:sz w:val="24"/>
          <w:szCs w:val="24"/>
          <w:lang w:eastAsia="ru-RU"/>
        </w:rPr>
      </w:pPr>
      <w:r>
        <w:rPr>
          <w:rFonts w:cs="Arial"/>
          <w:sz w:val="24"/>
          <w:szCs w:val="24"/>
          <w:lang w:eastAsia="ru-RU"/>
        </w:rPr>
        <w:t>Варианты мастер -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 - плана выполняется оценка финансовых потребностей, необходимых для их реализации и, затем,  оценка эффективности финансовых затрат.</w:t>
      </w:r>
    </w:p>
    <w:p>
      <w:pPr>
        <w:pStyle w:val="Normal"/>
        <w:spacing w:lineRule="auto" w:line="360"/>
        <w:rPr>
          <w:rFonts w:cs="Arial"/>
          <w:sz w:val="24"/>
          <w:szCs w:val="24"/>
          <w:lang w:eastAsia="ru-RU"/>
        </w:rPr>
      </w:pPr>
      <w:r>
        <w:rPr>
          <w:rFonts w:cs="Arial"/>
          <w:sz w:val="24"/>
          <w:szCs w:val="24"/>
          <w:lang w:eastAsia="ru-RU"/>
        </w:rPr>
      </w:r>
    </w:p>
    <w:p>
      <w:pPr>
        <w:pStyle w:val="ListParagraph"/>
        <w:numPr>
          <w:ilvl w:val="1"/>
          <w:numId w:val="31"/>
        </w:numPr>
        <w:suppressAutoHyphens w:val="true"/>
        <w:spacing w:before="240" w:after="120"/>
        <w:ind w:hanging="0" w:left="0"/>
        <w:contextualSpacing/>
        <w:jc w:val="center"/>
        <w:outlineLvl w:val="1"/>
        <w:rPr>
          <w:rFonts w:ascii="Arial Black" w:hAnsi="Arial Black"/>
          <w:spacing w:val="-10"/>
          <w:kern w:val="2"/>
          <w:szCs w:val="24"/>
        </w:rPr>
      </w:pPr>
      <w:bookmarkStart w:id="130" w:name="_Toc132981681"/>
      <w:bookmarkStart w:id="131" w:name="_Toc368331442"/>
      <w:r>
        <w:rPr>
          <w:rFonts w:ascii="Arial Black" w:hAnsi="Arial Black"/>
          <w:spacing w:val="-10"/>
          <w:kern w:val="2"/>
          <w:szCs w:val="24"/>
        </w:rPr>
        <w:t>Варианты, включенные в мастер-план</w:t>
      </w:r>
      <w:bookmarkEnd w:id="130"/>
      <w:bookmarkEnd w:id="131"/>
    </w:p>
    <w:p>
      <w:pPr>
        <w:pStyle w:val="Normal"/>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комбинированной выработкой электрической и тепловой энергии, ряд предложений в части систем теплоснабжения от котельных.</w:t>
      </w:r>
    </w:p>
    <w:p>
      <w:pPr>
        <w:pStyle w:val="Normal"/>
        <w:spacing w:lineRule="auto" w:line="360"/>
        <w:rPr>
          <w:rFonts w:cs="Arial"/>
          <w:sz w:val="24"/>
          <w:szCs w:val="24"/>
          <w:lang w:eastAsia="ru-RU"/>
        </w:rPr>
      </w:pPr>
      <w:r>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pPr>
        <w:pStyle w:val="Normal"/>
        <w:spacing w:lineRule="auto" w:line="360"/>
        <w:rPr>
          <w:rFonts w:cs="Arial"/>
          <w:sz w:val="24"/>
          <w:szCs w:val="24"/>
          <w:lang w:eastAsia="ru-RU"/>
        </w:rPr>
      </w:pPr>
      <w:r>
        <w:rPr>
          <w:rFonts w:cs="Arial"/>
          <w:sz w:val="24"/>
          <w:szCs w:val="24"/>
          <w:lang w:eastAsia="ru-RU"/>
        </w:rPr>
        <w:t>Сценарий № 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pPr>
        <w:pStyle w:val="Normal"/>
        <w:spacing w:lineRule="auto" w:line="360"/>
        <w:rPr>
          <w:rFonts w:cs="Arial"/>
          <w:sz w:val="24"/>
          <w:szCs w:val="24"/>
          <w:lang w:eastAsia="ru-RU"/>
        </w:rPr>
      </w:pPr>
      <w:r>
        <w:rPr>
          <w:rFonts w:cs="Arial"/>
          <w:sz w:val="24"/>
          <w:szCs w:val="24"/>
          <w:lang w:eastAsia="ru-RU"/>
        </w:rPr>
        <w:t>Сценарий № 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pPr>
        <w:pStyle w:val="Normal"/>
        <w:spacing w:lineRule="auto" w:line="360"/>
        <w:rPr>
          <w:rFonts w:cs="Arial"/>
          <w:sz w:val="24"/>
          <w:szCs w:val="24"/>
          <w:lang w:eastAsia="ru-RU"/>
        </w:rPr>
      </w:pPr>
      <w:r>
        <w:rPr>
          <w:rFonts w:cs="Arial"/>
          <w:sz w:val="24"/>
          <w:szCs w:val="24"/>
          <w:lang w:eastAsia="ru-RU"/>
        </w:rPr>
        <w:t>Сценарий № 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pPr>
        <w:pStyle w:val="Normal"/>
        <w:spacing w:lineRule="auto" w:line="360"/>
        <w:rPr>
          <w:rFonts w:cs="Arial"/>
          <w:sz w:val="24"/>
          <w:szCs w:val="24"/>
          <w:lang w:eastAsia="ru-RU"/>
        </w:rPr>
      </w:pPr>
      <w:r>
        <w:rPr>
          <w:rFonts w:cs="Arial"/>
          <w:sz w:val="24"/>
          <w:szCs w:val="24"/>
          <w:lang w:eastAsia="ru-RU"/>
        </w:rPr>
        <w:t>Сценарии № 2 и № 3 предусматривали переключение потребителей части котельных на обслуживание от ТЭЦ  – рассмотрены различные варианты переключения.</w:t>
      </w:r>
    </w:p>
    <w:p>
      <w:pPr>
        <w:pStyle w:val="Normal"/>
        <w:spacing w:lineRule="auto" w:line="360"/>
        <w:rPr>
          <w:rFonts w:cs="Arial"/>
          <w:sz w:val="24"/>
          <w:szCs w:val="24"/>
          <w:lang w:eastAsia="ru-RU"/>
        </w:rPr>
      </w:pPr>
      <w:r>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pPr>
        <w:pStyle w:val="Normal"/>
        <w:spacing w:lineRule="auto" w:line="360"/>
        <w:rPr>
          <w:rFonts w:cs="Arial"/>
          <w:sz w:val="24"/>
          <w:szCs w:val="24"/>
          <w:lang w:eastAsia="ru-RU"/>
        </w:rPr>
      </w:pPr>
      <w:r>
        <w:rPr>
          <w:rFonts w:cs="Arial"/>
          <w:sz w:val="24"/>
          <w:szCs w:val="24"/>
          <w:lang w:eastAsia="ru-RU"/>
        </w:rPr>
        <w:t>Все рассмотренные сценарии предусматривали учет требований Федерального закона от 07.12.2011 № 416-ФЗ «О водоснабжении и водоотведении» в части запрета эксплуатации с 01.01.2022 «открытых» систем горячего водоснабжения;</w:t>
      </w:r>
    </w:p>
    <w:p>
      <w:pPr>
        <w:pStyle w:val="Normal"/>
        <w:spacing w:lineRule="auto" w:line="360"/>
        <w:rPr>
          <w:rFonts w:cs="Arial"/>
          <w:sz w:val="24"/>
          <w:szCs w:val="24"/>
          <w:lang w:eastAsia="ru-RU"/>
        </w:rPr>
      </w:pPr>
      <w:r>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pPr>
        <w:pStyle w:val="Normal"/>
        <w:spacing w:lineRule="auto" w:line="360"/>
        <w:rPr>
          <w:rFonts w:cs="Arial"/>
          <w:sz w:val="24"/>
          <w:szCs w:val="24"/>
          <w:lang w:eastAsia="ru-RU"/>
        </w:rPr>
      </w:pPr>
      <w:r>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сооружение котельных в новых районах строительства («Ольговский», «Силикатный», «Северный», «Организатор»);</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реконструкция котельной № 1 (1-й Академический проезд, 29) и строительство тепловых сетей для теплоснабжения района массового строительства «Правгород» («Квань»);</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сооружение котельной для теплоснабжения района массового строительства «Правобережный» («Секиотово»).</w:t>
      </w:r>
    </w:p>
    <w:p>
      <w:pPr>
        <w:pStyle w:val="Normal"/>
        <w:spacing w:lineRule="auto" w:line="360"/>
        <w:rPr>
          <w:rFonts w:cs="Arial"/>
          <w:sz w:val="24"/>
          <w:szCs w:val="24"/>
          <w:lang w:eastAsia="ru-RU"/>
        </w:rPr>
      </w:pPr>
      <w:r>
        <w:rPr>
          <w:rFonts w:cs="Arial"/>
          <w:sz w:val="24"/>
          <w:szCs w:val="24"/>
          <w:lang w:eastAsia="ru-RU"/>
        </w:rPr>
        <w:t xml:space="preserve">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результатам данных совещаний были сформированы соответствующие протоколы с указанием предложений по развитию систем теплоснабжения города. </w:t>
      </w:r>
    </w:p>
    <w:p>
      <w:pPr>
        <w:pStyle w:val="Normal"/>
        <w:spacing w:lineRule="auto" w:line="360"/>
        <w:rPr>
          <w:rFonts w:cs="Arial"/>
          <w:sz w:val="24"/>
          <w:szCs w:val="24"/>
          <w:lang w:eastAsia="ru-RU"/>
        </w:rPr>
      </w:pPr>
      <w:r>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 г.Калуги. Сканированная копия протокола совещания приведена на рисунках 2.1 – 2.3.</w:t>
      </w:r>
    </w:p>
    <w:p>
      <w:pPr>
        <w:pStyle w:val="Normal"/>
        <w:spacing w:lineRule="auto" w:line="360"/>
        <w:rPr>
          <w:rFonts w:cs="Arial"/>
          <w:sz w:val="24"/>
          <w:szCs w:val="24"/>
          <w:lang w:eastAsia="ru-RU"/>
        </w:rPr>
      </w:pPr>
      <w:r>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pPr>
        <w:pStyle w:val="Normal"/>
        <w:spacing w:lineRule="auto" w:line="360"/>
        <w:rPr>
          <w:rFonts w:cs="Arial"/>
          <w:sz w:val="24"/>
          <w:szCs w:val="24"/>
          <w:lang w:eastAsia="ru-RU"/>
        </w:rPr>
      </w:pPr>
      <w:r>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 аппаратуры» на имя начальника управления жилищно-коммунального хозяйства города Калуги (рисунки 2.6. – 2.7.).</w:t>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mc:AlternateContent>
          <mc:Choice Requires="wps">
            <w:drawing>
              <wp:inline distT="0" distB="0" distL="0" distR="0" wp14:anchorId="7A76D5E4">
                <wp:extent cx="5760085" cy="7680325"/>
                <wp:effectExtent l="0" t="0" r="0" b="0"/>
                <wp:docPr id="27" name="Рисунок 1" descr="F:\Калуга\Документы\Протоколы\20130924_115421_resized.jpg"/>
                <a:graphic xmlns:a="http://schemas.openxmlformats.org/drawingml/2006/main">
                  <a:graphicData uri="http://schemas.openxmlformats.org/drawingml/2006/picture">
                    <pic:pic xmlns:pic="http://schemas.openxmlformats.org/drawingml/2006/picture">
                      <pic:nvPicPr>
                        <pic:cNvPr id="28" name="Рисунок 1" descr="F:\Калуга\Документы\Протоколы\20130924_115421_resized.jpg"/>
                        <pic:cNvPicPr/>
                      </pic:nvPicPr>
                      <pic:blipFill>
                        <a:blip r:embed="rId53">
                          <a:extLst>
                            <a:ext uri="{BEBA8EAE-BF5A-486C-A8C5-ECC9F3942E4B}">
                              <a14:imgProps xmlns:a14="http://schemas.microsoft.com/office/drawing/2010/main">
                                <a14:imgLayer r:embed="rId54">
                                  <a14:imgEffect>
                                    <a14:artisticPhotocopy/>
                                  </a14:imgEffect>
                                </a14:imgLayer>
                              </a14:imgProps>
                            </a:ext>
                          </a:extLst>
                        </a:blip>
                        <a:stretch/>
                      </pic:blipFill>
                      <pic:spPr>
                        <a:xfrm>
                          <a:off x="0" y="0"/>
                          <a:ext cx="5760000" cy="7680240"/>
                        </a:xfrm>
                        <a:prstGeom prst="rect">
                          <a:avLst/>
                        </a:prstGeom>
                        <a:noFill/>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1" stroked="f" o:allowincell="f" style="position:absolute;margin-left:0pt;margin-top:-604.8pt;width:453.5pt;height:604.7pt;mso-wrap-style:none;v-text-anchor:middle;mso-position-vertical:top" wp14:anchorId="7A76D5E4" type="_x0000_t75">
                <v:imagedata r:id="rId55"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32" w:name="_Toc71274682"/>
      <w:bookmarkStart w:id="133" w:name="_Toc374400375"/>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1)</w:t>
      </w:r>
      <w:bookmarkEnd w:id="132"/>
      <w:bookmarkEnd w:id="133"/>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mc:AlternateContent>
          <mc:Choice Requires="wps">
            <w:drawing>
              <wp:inline distT="0" distB="0" distL="0" distR="0" wp14:anchorId="4899C6A8">
                <wp:extent cx="5760085" cy="7680325"/>
                <wp:effectExtent l="0" t="0" r="0" b="0"/>
                <wp:docPr id="29" name="Рисунок 2" descr="F:\Калуга\Документы\Протоколы\20130924_115432_resized.jpg"/>
                <a:graphic xmlns:a="http://schemas.openxmlformats.org/drawingml/2006/main">
                  <a:graphicData uri="http://schemas.openxmlformats.org/drawingml/2006/picture">
                    <pic:pic xmlns:pic="http://schemas.openxmlformats.org/drawingml/2006/picture">
                      <pic:nvPicPr>
                        <pic:cNvPr id="30" name="Рисунок 2" descr="F:\Калуга\Документы\Протоколы\20130924_115432_resized.jpg"/>
                        <pic:cNvPicPr/>
                      </pic:nvPicPr>
                      <pic:blipFill>
                        <a:blip r:embed="rId56">
                          <a:extLst>
                            <a:ext uri="{BEBA8EAE-BF5A-486C-A8C5-ECC9F3942E4B}">
                              <a14:imgProps xmlns:a14="http://schemas.microsoft.com/office/drawing/2010/main">
                                <a14:imgLayer r:embed="rId57">
                                  <a14:imgEffect>
                                    <a14:artisticPhotocopy/>
                                  </a14:imgEffect>
                                </a14:imgLayer>
                              </a14:imgProps>
                            </a:ext>
                          </a:extLst>
                        </a:blip>
                        <a:stretch/>
                      </pic:blipFill>
                      <pic:spPr>
                        <a:xfrm>
                          <a:off x="0" y="0"/>
                          <a:ext cx="5760000" cy="7680240"/>
                        </a:xfrm>
                        <a:prstGeom prst="rect">
                          <a:avLst/>
                        </a:prstGeom>
                        <a:noFill/>
                        <a:ln w="0">
                          <a:noFill/>
                        </a:ln>
                      </pic:spPr>
                    </pic:pic>
                  </a:graphicData>
                </a:graphic>
              </wp:inline>
            </w:drawing>
          </mc:Choice>
          <mc:Fallback>
            <w:pict>
              <v:shape id="shape_0" ID="Рисунок 2" stroked="f" o:allowincell="f" style="position:absolute;margin-left:0pt;margin-top:-604.8pt;width:453.5pt;height:604.7pt;mso-wrap-style:none;v-text-anchor:middle;mso-position-vertical:top" wp14:anchorId="4899C6A8" type="_x0000_t75">
                <v:imagedata r:id="rId58"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34" w:name="_Toc71274683"/>
      <w:bookmarkStart w:id="135" w:name="_Toc374400376"/>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2</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2)</w:t>
      </w:r>
      <w:bookmarkEnd w:id="134"/>
      <w:bookmarkEnd w:id="135"/>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mc:AlternateContent>
          <mc:Choice Requires="wps">
            <w:drawing>
              <wp:inline distT="0" distB="0" distL="0" distR="0" wp14:anchorId="5F037E3A">
                <wp:extent cx="5757545" cy="7353300"/>
                <wp:effectExtent l="0" t="0" r="0" b="0"/>
                <wp:docPr id="31" name="Рисунок 3" descr="F:\Калуга\Документы\Протоколы\20130924_115443_resized.jpg"/>
                <a:graphic xmlns:a="http://schemas.openxmlformats.org/drawingml/2006/main">
                  <a:graphicData uri="http://schemas.openxmlformats.org/drawingml/2006/picture">
                    <pic:pic xmlns:pic="http://schemas.openxmlformats.org/drawingml/2006/picture">
                      <pic:nvPicPr>
                        <pic:cNvPr id="32" name="Рисунок 3" descr="F:\Калуга\Документы\Протоколы\20130924_115443_resized.jpg"/>
                        <pic:cNvPicPr/>
                      </pic:nvPicPr>
                      <pic:blipFill>
                        <a:blip r:embed="rId59">
                          <a:extLst>
                            <a:ext uri="{BEBA8EAE-BF5A-486C-A8C5-ECC9F3942E4B}">
                              <a14:imgProps xmlns:a14="http://schemas.microsoft.com/office/drawing/2010/main">
                                <a14:imgLayer r:embed="rId60">
                                  <a14:imgEffect>
                                    <a14:artisticPhotocopy/>
                                  </a14:imgEffect>
                                </a14:imgLayer>
                              </a14:imgProps>
                            </a:ext>
                          </a:extLst>
                        </a:blip>
                        <a:srcRect l="0" t="4217" r="0" b="0"/>
                        <a:stretch/>
                      </pic:blipFill>
                      <pic:spPr>
                        <a:xfrm>
                          <a:off x="0" y="0"/>
                          <a:ext cx="5757480" cy="7353360"/>
                        </a:xfrm>
                        <a:prstGeom prst="rect">
                          <a:avLst/>
                        </a:prstGeom>
                        <a:noFill/>
                        <a:ln w="0">
                          <a:noFill/>
                        </a:ln>
                      </pic:spPr>
                    </pic:pic>
                  </a:graphicData>
                </a:graphic>
              </wp:inline>
            </w:drawing>
          </mc:Choice>
          <mc:Fallback>
            <w:pict>
              <v:shape id="shape_0" ID="Рисунок 3" stroked="f" o:allowincell="f" style="position:absolute;margin-left:0pt;margin-top:-579.05pt;width:453.3pt;height:578.95pt;mso-wrap-style:none;v-text-anchor:middle;mso-position-vertical:top" wp14:anchorId="5F037E3A" type="_x0000_t75">
                <v:imagedata r:id="rId61"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36" w:name="_Toc71274684"/>
      <w:bookmarkStart w:id="137" w:name="_Toc374400377"/>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3</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3)</w:t>
      </w:r>
      <w:bookmarkEnd w:id="136"/>
      <w:bookmarkEnd w:id="137"/>
    </w:p>
    <w:p>
      <w:pPr>
        <w:pStyle w:val="Normal"/>
        <w:spacing w:lineRule="auto" w:line="360"/>
        <w:ind w:hanging="0"/>
        <w:jc w:val="center"/>
        <w:rPr>
          <w:rFonts w:ascii="Arial Narrow" w:hAnsi="Arial Narrow" w:eastAsia="Times New Roman"/>
          <w:b/>
          <w:bCs/>
          <w:spacing w:val="0"/>
          <w:sz w:val="20"/>
          <w:szCs w:val="24"/>
          <w:lang w:eastAsia="ru-RU"/>
        </w:rPr>
      </w:pPr>
      <w:bookmarkStart w:id="138" w:name="_Toc71274685"/>
      <w:r>
        <w:rPr/>
        <w:drawing>
          <wp:inline distT="0" distB="0" distL="0" distR="0">
            <wp:extent cx="5760085" cy="7994015"/>
            <wp:effectExtent l="0" t="0" r="0" b="0"/>
            <wp:docPr id="33"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6" descr="E:\Калуга\Документы\Протоколы\Совещание по мастер-плану\001.jpg"/>
                    <pic:cNvPicPr>
                      <a:picLocks noChangeAspect="1" noChangeArrowheads="1"/>
                    </pic:cNvPicPr>
                  </pic:nvPicPr>
                  <pic:blipFill>
                    <a:blip r:embed="rId62"/>
                    <a:stretch>
                      <a:fillRect/>
                    </a:stretch>
                  </pic:blipFill>
                  <pic:spPr bwMode="auto">
                    <a:xfrm>
                      <a:off x="0" y="0"/>
                      <a:ext cx="5760085" cy="7994015"/>
                    </a:xfrm>
                    <a:prstGeom prst="rect">
                      <a:avLst/>
                    </a:prstGeom>
                    <a:noFill/>
                  </pic:spPr>
                </pic:pic>
              </a:graphicData>
            </a:graphic>
          </wp:inline>
        </w:drawing>
      </w:r>
      <w:bookmarkStart w:id="139" w:name="_Toc374400378"/>
      <w:r>
        <w:rPr>
          <w:rFonts w:eastAsia="Times New Roman" w:ascii="Arial Narrow" w:hAnsi="Arial Narrow"/>
          <w:b/>
          <w:bCs/>
          <w:spacing w:val="0"/>
          <w:sz w:val="20"/>
          <w:szCs w:val="24"/>
          <w:lang w:eastAsia="ru-RU"/>
        </w:rPr>
        <w:t xml:space="preserve"> </w:t>
      </w:r>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4</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Городской управе города Калуги от 07.11.2013 г. (часть 1)</w:t>
      </w:r>
      <w:bookmarkEnd w:id="138"/>
      <w:bookmarkEnd w:id="139"/>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drawing>
          <wp:inline distT="0" distB="0" distL="0" distR="0">
            <wp:extent cx="5760085" cy="7994015"/>
            <wp:effectExtent l="0" t="0" r="0" b="0"/>
            <wp:docPr id="34"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7" descr="E:\Калуга\Документы\Протоколы\Совещание по мастер-плану\002.jpg"/>
                    <pic:cNvPicPr>
                      <a:picLocks noChangeAspect="1" noChangeArrowheads="1"/>
                    </pic:cNvPicPr>
                  </pic:nvPicPr>
                  <pic:blipFill>
                    <a:blip r:embed="rId63"/>
                    <a:stretch>
                      <a:fillRect/>
                    </a:stretch>
                  </pic:blipFill>
                  <pic:spPr bwMode="auto">
                    <a:xfrm>
                      <a:off x="0" y="0"/>
                      <a:ext cx="5760085" cy="7994015"/>
                    </a:xfrm>
                    <a:prstGeom prst="rect">
                      <a:avLst/>
                    </a:prstGeom>
                    <a:noFill/>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40" w:name="_Toc71274686"/>
      <w:bookmarkStart w:id="141" w:name="_Toc374400379"/>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5</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Городской управе города Калуги от 07.11.2013 г. (часть 2)</w:t>
      </w:r>
      <w:bookmarkEnd w:id="140"/>
      <w:bookmarkEnd w:id="141"/>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drawing>
          <wp:inline distT="0" distB="0" distL="0" distR="0">
            <wp:extent cx="5760085" cy="8141335"/>
            <wp:effectExtent l="0" t="0" r="0" b="0"/>
            <wp:docPr id="35"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8" descr="E:\Калуга\Документы\Протоколы\КЗТА\1.JPG"/>
                    <pic:cNvPicPr>
                      <a:picLocks noChangeAspect="1" noChangeArrowheads="1"/>
                    </pic:cNvPicPr>
                  </pic:nvPicPr>
                  <pic:blipFill>
                    <a:blip r:embed="rId64"/>
                    <a:stretch>
                      <a:fillRect/>
                    </a:stretch>
                  </pic:blipFill>
                  <pic:spPr bwMode="auto">
                    <a:xfrm>
                      <a:off x="0" y="0"/>
                      <a:ext cx="5760085" cy="8141335"/>
                    </a:xfrm>
                    <a:prstGeom prst="rect">
                      <a:avLst/>
                    </a:prstGeom>
                    <a:noFill/>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42" w:name="_Toc71274687"/>
      <w:bookmarkStart w:id="143" w:name="_Toc374400380"/>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6</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 xml:space="preserve">Письмо генерального директора </w:t>
      </w:r>
      <w:r>
        <w:rPr>
          <w:rFonts w:eastAsia="Times New Roman" w:cs="Arial"/>
          <w:color w:val="000000"/>
          <w:spacing w:val="0"/>
          <w:lang w:eastAsia="ru-RU"/>
        </w:rPr>
        <w:t>АО «Азимут» (бывший АО «КЗТА»)</w:t>
      </w:r>
      <w:r>
        <w:rPr>
          <w:rFonts w:eastAsia="Times New Roman" w:ascii="Arial Narrow" w:hAnsi="Arial Narrow"/>
          <w:b/>
          <w:bCs/>
          <w:spacing w:val="0"/>
          <w:sz w:val="20"/>
          <w:szCs w:val="24"/>
          <w:lang w:eastAsia="ru-RU"/>
        </w:rPr>
        <w:t xml:space="preserve"> (часть 1)</w:t>
      </w:r>
      <w:bookmarkEnd w:id="142"/>
      <w:bookmarkEnd w:id="143"/>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drawing>
          <wp:inline distT="0" distB="0" distL="0" distR="0">
            <wp:extent cx="5760085" cy="8141335"/>
            <wp:effectExtent l="0" t="0" r="0" b="0"/>
            <wp:docPr id="36"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9" descr="E:\Калуга\Документы\Протоколы\КЗТА\2.JPG"/>
                    <pic:cNvPicPr>
                      <a:picLocks noChangeAspect="1" noChangeArrowheads="1"/>
                    </pic:cNvPicPr>
                  </pic:nvPicPr>
                  <pic:blipFill>
                    <a:blip r:embed="rId65"/>
                    <a:stretch>
                      <a:fillRect/>
                    </a:stretch>
                  </pic:blipFill>
                  <pic:spPr bwMode="auto">
                    <a:xfrm>
                      <a:off x="0" y="0"/>
                      <a:ext cx="5760085" cy="8141335"/>
                    </a:xfrm>
                    <a:prstGeom prst="rect">
                      <a:avLst/>
                    </a:prstGeom>
                    <a:noFill/>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44" w:name="_Toc71274688"/>
      <w:bookmarkStart w:id="145" w:name="_Toc374400381"/>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7</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 xml:space="preserve">Письмо генерального директора </w:t>
      </w:r>
      <w:r>
        <w:rPr>
          <w:rFonts w:eastAsia="Times New Roman" w:cs="Arial"/>
          <w:color w:val="000000"/>
          <w:spacing w:val="0"/>
          <w:lang w:eastAsia="ru-RU"/>
        </w:rPr>
        <w:t>АО «Азимут» (бывший АО «КЗТА»)</w:t>
      </w:r>
      <w:r>
        <w:rPr>
          <w:rFonts w:eastAsia="Times New Roman" w:ascii="Arial Narrow" w:hAnsi="Arial Narrow"/>
          <w:b/>
          <w:bCs/>
          <w:spacing w:val="0"/>
          <w:sz w:val="20"/>
          <w:szCs w:val="24"/>
          <w:lang w:eastAsia="ru-RU"/>
        </w:rPr>
        <w:t xml:space="preserve"> (часть 2)</w:t>
      </w:r>
      <w:bookmarkEnd w:id="144"/>
      <w:bookmarkEnd w:id="145"/>
    </w:p>
    <w:p>
      <w:pPr>
        <w:pStyle w:val="Normal"/>
        <w:spacing w:lineRule="auto" w:line="360"/>
        <w:rPr>
          <w:rFonts w:cs="Arial"/>
          <w:sz w:val="24"/>
          <w:szCs w:val="24"/>
          <w:lang w:eastAsia="ru-RU"/>
        </w:rPr>
      </w:pPr>
      <w:r>
        <w:rPr>
          <w:rFonts w:cs="Arial"/>
          <w:sz w:val="24"/>
          <w:szCs w:val="24"/>
          <w:lang w:eastAsia="ru-RU"/>
        </w:rPr>
      </w:r>
    </w:p>
    <w:p>
      <w:pPr>
        <w:pStyle w:val="Normal"/>
        <w:widowControl/>
        <w:spacing w:before="0" w:after="0"/>
        <w:ind w:hanging="0"/>
        <w:jc w:val="left"/>
        <w:textAlignment w:val="auto"/>
        <w:rPr>
          <w:rFonts w:cs="Arial"/>
          <w:sz w:val="24"/>
          <w:szCs w:val="24"/>
          <w:lang w:eastAsia="ru-RU"/>
        </w:rPr>
      </w:pPr>
      <w:r>
        <w:rPr>
          <w:rFonts w:cs="Arial"/>
          <w:sz w:val="24"/>
          <w:szCs w:val="24"/>
          <w:lang w:eastAsia="ru-RU"/>
        </w:rPr>
      </w:r>
      <w:r>
        <w:br w:type="page"/>
      </w:r>
    </w:p>
    <w:p>
      <w:pPr>
        <w:pStyle w:val="Normal"/>
        <w:spacing w:lineRule="auto" w:line="360" w:before="0" w:after="120"/>
        <w:rPr>
          <w:rFonts w:cs="Arial"/>
          <w:sz w:val="24"/>
          <w:szCs w:val="24"/>
          <w:lang w:eastAsia="ru-RU"/>
        </w:rPr>
      </w:pPr>
      <w:r>
        <w:rPr>
          <w:rFonts w:cs="Arial"/>
          <w:sz w:val="24"/>
          <w:szCs w:val="24"/>
          <w:lang w:eastAsia="ru-RU"/>
        </w:rPr>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pPr>
        <w:pStyle w:val="Normal"/>
        <w:spacing w:lineRule="auto" w:line="360"/>
        <w:rPr>
          <w:rFonts w:cs="Arial"/>
          <w:sz w:val="24"/>
          <w:szCs w:val="24"/>
          <w:lang w:eastAsia="ru-RU"/>
        </w:rPr>
      </w:pPr>
      <w:r>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r>
        <w:br w:type="page"/>
      </w:r>
    </w:p>
    <w:p>
      <w:pPr>
        <w:pStyle w:val="ListParagraph"/>
        <w:keepNext w:val="true"/>
        <w:keepLines/>
        <w:widowControl/>
        <w:numPr>
          <w:ilvl w:val="1"/>
          <w:numId w:val="26"/>
        </w:numPr>
        <w:pBdr>
          <w:top w:val="single" w:sz="48" w:space="3" w:color="FFFFFF"/>
          <w:left w:val="single" w:sz="6" w:space="3" w:color="FFFFFF"/>
          <w:bottom w:val="single" w:sz="6" w:space="3" w:color="FFFFFF"/>
        </w:pBdr>
        <w:spacing w:lineRule="atLeast" w:line="240"/>
        <w:ind w:hanging="0" w:left="0"/>
        <w:jc w:val="center"/>
        <w:outlineLvl w:val="0"/>
        <w:rPr>
          <w:rFonts w:ascii="Arial Black" w:hAnsi="Arial Black"/>
          <w:caps/>
          <w:spacing w:val="-8"/>
          <w:kern w:val="2"/>
          <w:szCs w:val="24"/>
        </w:rPr>
      </w:pPr>
      <w:bookmarkStart w:id="146" w:name="_Toc368331443"/>
      <w:r>
        <w:rPr>
          <w:rFonts w:ascii="Arial Black" w:hAnsi="Arial Black"/>
          <w:caps/>
          <w:spacing w:val="-8"/>
          <w:kern w:val="2"/>
          <w:szCs w:val="24"/>
        </w:rPr>
        <w:t xml:space="preserve"> </w:t>
      </w:r>
      <w:bookmarkStart w:id="147" w:name="_Toc132981682"/>
      <w:r>
        <w:rPr>
          <w:rFonts w:ascii="Arial Black" w:hAnsi="Arial Black"/>
          <w:caps/>
          <w:spacing w:val="-8"/>
          <w:kern w:val="2"/>
          <w:szCs w:val="24"/>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bookmarkEnd w:id="146"/>
      <w:bookmarkEnd w:id="147"/>
    </w:p>
    <w:p>
      <w:pPr>
        <w:pStyle w:val="ListParagraph"/>
        <w:numPr>
          <w:ilvl w:val="2"/>
          <w:numId w:val="26"/>
        </w:numPr>
        <w:suppressAutoHyphens w:val="true"/>
        <w:spacing w:before="240" w:after="120"/>
        <w:ind w:hanging="0" w:left="0"/>
        <w:contextualSpacing/>
        <w:jc w:val="center"/>
        <w:outlineLvl w:val="1"/>
        <w:rPr>
          <w:rFonts w:ascii="Arial Black" w:hAnsi="Arial Black"/>
          <w:spacing w:val="-10"/>
          <w:kern w:val="2"/>
          <w:szCs w:val="24"/>
        </w:rPr>
      </w:pPr>
      <w:bookmarkStart w:id="148" w:name="_Toc368331444"/>
      <w:r>
        <w:rPr>
          <w:rFonts w:ascii="Arial Black" w:hAnsi="Arial Black"/>
          <w:spacing w:val="-10"/>
          <w:kern w:val="2"/>
          <w:szCs w:val="24"/>
        </w:rPr>
        <w:t xml:space="preserve"> </w:t>
      </w:r>
      <w:bookmarkStart w:id="149" w:name="_Toc132981683"/>
      <w:r>
        <w:rPr>
          <w:rFonts w:ascii="Arial Black" w:hAnsi="Arial Black"/>
          <w:spacing w:val="-10"/>
          <w:kern w:val="2"/>
          <w:szCs w:val="24"/>
        </w:rPr>
        <w:t>Сценарий № 1 «Консервативный»</w:t>
      </w:r>
      <w:bookmarkEnd w:id="148"/>
      <w:bookmarkEnd w:id="149"/>
    </w:p>
    <w:p>
      <w:pPr>
        <w:pStyle w:val="ListParagraph"/>
        <w:numPr>
          <w:ilvl w:val="0"/>
          <w:numId w:val="0"/>
        </w:numPr>
        <w:suppressAutoHyphens w:val="true"/>
        <w:spacing w:before="240" w:after="120"/>
        <w:ind w:hanging="0" w:left="1712"/>
        <w:contextualSpacing/>
        <w:outlineLvl w:val="1"/>
        <w:rPr>
          <w:rFonts w:ascii="Arial Black" w:hAnsi="Arial Black"/>
          <w:spacing w:val="-10"/>
          <w:kern w:val="2"/>
          <w:szCs w:val="24"/>
        </w:rPr>
      </w:pPr>
      <w:r>
        <w:rPr>
          <w:rFonts w:ascii="Arial Black" w:hAnsi="Arial Black"/>
          <w:spacing w:val="-10"/>
          <w:kern w:val="2"/>
          <w:szCs w:val="24"/>
        </w:rPr>
      </w:r>
    </w:p>
    <w:p>
      <w:pPr>
        <w:pStyle w:val="Normal"/>
        <w:spacing w:lineRule="auto" w:line="360"/>
        <w:rPr>
          <w:rFonts w:cs="Arial"/>
          <w:sz w:val="24"/>
          <w:szCs w:val="24"/>
          <w:lang w:eastAsia="ru-RU"/>
        </w:rPr>
      </w:pPr>
      <w:r>
        <w:rPr>
          <w:rFonts w:cs="Arial"/>
          <w:sz w:val="24"/>
          <w:szCs w:val="24"/>
          <w:lang w:eastAsia="ru-RU"/>
        </w:rPr>
        <w:t>Рассматриваемый сценарий развития 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pPr>
        <w:pStyle w:val="Normal"/>
        <w:spacing w:lineRule="auto" w:line="360"/>
        <w:rPr>
          <w:rFonts w:cs="Arial"/>
          <w:sz w:val="24"/>
          <w:szCs w:val="24"/>
          <w:lang w:eastAsia="ru-RU"/>
        </w:rPr>
      </w:pPr>
      <w:r>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балансы приведены в таблицах 3.1 – 3.2. В зонах действия ТЭЦ ОАО «КТЗ» не планируется прироста тепловой нагрузки, в связи с чем балансы мощности по указанным зонам не приведены.</w:t>
      </w:r>
    </w:p>
    <w:p>
      <w:pPr>
        <w:pStyle w:val="Normal"/>
        <w:spacing w:lineRule="auto" w:line="360"/>
        <w:rPr>
          <w:rFonts w:cs="Arial"/>
          <w:sz w:val="24"/>
          <w:szCs w:val="24"/>
          <w:lang w:eastAsia="ru-RU"/>
        </w:rPr>
      </w:pPr>
      <w:r>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pPr>
        <w:pStyle w:val="Normal"/>
        <w:spacing w:lineRule="auto" w:line="360" w:before="120" w:after="120"/>
        <w:ind w:hanging="0" w:left="1287"/>
        <w:contextualSpacing/>
        <w:rPr>
          <w:rFonts w:cs="Arial"/>
          <w:sz w:val="24"/>
          <w:szCs w:val="24"/>
          <w:lang w:eastAsia="ru-RU"/>
        </w:rPr>
      </w:pPr>
      <w:r>
        <w:rPr>
          <w:rFonts w:cs="Arial"/>
          <w:sz w:val="24"/>
          <w:szCs w:val="24"/>
          <w:lang w:eastAsia="ru-RU"/>
        </w:rPr>
      </w:r>
    </w:p>
    <w:p>
      <w:pPr>
        <w:pStyle w:val="Normal"/>
        <w:spacing w:before="120" w:after="200"/>
        <w:ind w:hanging="0"/>
        <w:jc w:val="left"/>
        <w:rPr>
          <w:rFonts w:ascii="Arial Narrow" w:hAnsi="Arial Narrow"/>
          <w:b/>
          <w:bCs/>
          <w:sz w:val="20"/>
          <w:szCs w:val="24"/>
        </w:rPr>
      </w:pPr>
      <w:bookmarkStart w:id="150" w:name="_Toc132971371"/>
      <w:bookmarkStart w:id="151" w:name="_Toc374252670"/>
      <w:r>
        <w:rPr>
          <w:rFonts w:ascii="Arial Narrow" w:hAnsi="Arial Narrow"/>
          <w:b/>
          <w:bCs/>
          <w:sz w:val="20"/>
          <w:szCs w:val="24"/>
        </w:rPr>
        <w:t>Таблица 4.</w:t>
      </w:r>
      <w:r>
        <w:rPr>
          <w:rFonts w:ascii="Arial Narrow" w:hAnsi="Arial Narrow"/>
          <w:b/>
          <w:bCs/>
          <w:sz w:val="20"/>
          <w:szCs w:val="24"/>
        </w:rPr>
        <w:fldChar w:fldCharType="begin"/>
      </w:r>
      <w:r>
        <w:rPr>
          <w:sz w:val="20"/>
          <w:b/>
          <w:szCs w:val="24"/>
          <w:bCs/>
          <w:rFonts w:ascii="Arial Narrow" w:hAnsi="Arial Narrow"/>
        </w:rPr>
        <w:instrText xml:space="preserve"> SEQ Таблица \* ARABIC </w:instrText>
      </w:r>
      <w:r>
        <w:rPr>
          <w:sz w:val="20"/>
          <w:b/>
          <w:szCs w:val="24"/>
          <w:bCs/>
          <w:rFonts w:ascii="Arial Narrow" w:hAnsi="Arial Narrow"/>
        </w:rPr>
        <w:fldChar w:fldCharType="separate"/>
      </w:r>
      <w:r>
        <w:rPr>
          <w:sz w:val="20"/>
          <w:b/>
          <w:szCs w:val="24"/>
          <w:bCs/>
          <w:rFonts w:ascii="Arial Narrow" w:hAnsi="Arial Narrow"/>
        </w:rPr>
        <w:t>1</w:t>
      </w:r>
      <w:r>
        <w:rPr>
          <w:sz w:val="20"/>
          <w:b/>
          <w:szCs w:val="24"/>
          <w:bCs/>
          <w:rFonts w:ascii="Arial Narrow" w:hAnsi="Arial Narrow"/>
        </w:rPr>
        <w:fldChar w:fldCharType="end"/>
      </w:r>
      <w:r>
        <w:rPr>
          <w:rFonts w:ascii="Arial Narrow" w:hAnsi="Arial Narrow"/>
          <w:b/>
          <w:bCs/>
          <w:sz w:val="20"/>
          <w:szCs w:val="24"/>
        </w:rPr>
        <w:t>. Перспективный баланс тепловой мощности ТЭЦ АО «КВАДРА» «Калужская генерация» и тепловой нагрузки потребителей</w:t>
      </w:r>
      <w:bookmarkEnd w:id="150"/>
      <w:bookmarkEnd w:id="151"/>
    </w:p>
    <w:tbl>
      <w:tblPr>
        <w:tblW w:w="9077" w:type="dxa"/>
        <w:jc w:val="left"/>
        <w:tblInd w:w="103" w:type="dxa"/>
        <w:tblLayout w:type="fixed"/>
        <w:tblCellMar>
          <w:top w:w="0" w:type="dxa"/>
          <w:left w:w="108" w:type="dxa"/>
          <w:bottom w:w="0" w:type="dxa"/>
          <w:right w:w="108" w:type="dxa"/>
        </w:tblCellMar>
        <w:tblLook w:firstRow="1" w:noVBand="1" w:lastRow="0" w:firstColumn="1" w:lastColumn="0" w:noHBand="0" w:val="04a0"/>
      </w:tblPr>
      <w:tblGrid>
        <w:gridCol w:w="6526"/>
        <w:gridCol w:w="2550"/>
      </w:tblGrid>
      <w:tr>
        <w:trPr>
          <w:trHeight w:val="300" w:hRule="atLeast"/>
        </w:trPr>
        <w:tc>
          <w:tcPr>
            <w:tcW w:w="6526"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24"/>
                <w:szCs w:val="20"/>
                <w:lang w:eastAsia="ru-RU"/>
              </w:rPr>
            </w:pPr>
            <w:r>
              <w:rPr>
                <w:rFonts w:eastAsia="Times New Roman" w:cs="Arial"/>
                <w:b/>
                <w:bCs/>
                <w:color w:val="000000"/>
                <w:spacing w:val="0"/>
                <w:sz w:val="24"/>
                <w:szCs w:val="20"/>
                <w:lang w:eastAsia="ru-RU"/>
              </w:rPr>
              <w:t>Показатель</w:t>
            </w:r>
          </w:p>
        </w:tc>
        <w:tc>
          <w:tcPr>
            <w:tcW w:w="2550"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24"/>
                <w:szCs w:val="20"/>
                <w:lang w:eastAsia="ru-RU"/>
              </w:rPr>
            </w:pPr>
            <w:r>
              <w:rPr>
                <w:rFonts w:eastAsia="Times New Roman" w:cs="Arial"/>
                <w:b/>
                <w:bCs/>
                <w:color w:val="000000"/>
                <w:spacing w:val="0"/>
                <w:sz w:val="24"/>
                <w:szCs w:val="20"/>
                <w:lang w:eastAsia="ru-RU"/>
              </w:rPr>
              <w:t>Значение, Гкал/ч</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Располагаемая  мощность</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110,10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Потери мощности на СН</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2,75</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Потери в ТС</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7,58</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Нагрузка</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22,93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Резерв/дефицит</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76,84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spacing w:val="0"/>
                <w:sz w:val="24"/>
                <w:szCs w:val="20"/>
                <w:lang w:eastAsia="ru-RU"/>
              </w:rPr>
            </w:pPr>
            <w:r>
              <w:rPr>
                <w:rFonts w:eastAsia="Times New Roman" w:cs="Arial"/>
                <w:b/>
                <w:spacing w:val="0"/>
                <w:sz w:val="24"/>
                <w:szCs w:val="20"/>
                <w:lang w:eastAsia="ru-RU"/>
              </w:rPr>
              <w:t>прирост 2013-2017</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0,00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2018</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22,93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2018</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76,84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spacing w:val="0"/>
                <w:sz w:val="24"/>
                <w:szCs w:val="20"/>
                <w:lang w:eastAsia="ru-RU"/>
              </w:rPr>
            </w:pPr>
            <w:r>
              <w:rPr>
                <w:rFonts w:eastAsia="Times New Roman" w:cs="Arial"/>
                <w:b/>
                <w:spacing w:val="0"/>
                <w:sz w:val="24"/>
                <w:szCs w:val="20"/>
                <w:lang w:eastAsia="ru-RU"/>
              </w:rPr>
              <w:t>прирост 2018-2022</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24,40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2023</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47,33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2023</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52,44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spacing w:val="0"/>
                <w:sz w:val="24"/>
                <w:szCs w:val="20"/>
                <w:lang w:eastAsia="ru-RU"/>
              </w:rPr>
            </w:pPr>
            <w:r>
              <w:rPr>
                <w:rFonts w:eastAsia="Times New Roman" w:cs="Arial"/>
                <w:b/>
                <w:spacing w:val="0"/>
                <w:sz w:val="24"/>
                <w:szCs w:val="20"/>
                <w:lang w:eastAsia="ru-RU"/>
              </w:rPr>
              <w:t>прирост 2023-2027</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11,34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2028</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58,67</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2028</w:t>
            </w:r>
          </w:p>
        </w:tc>
        <w:tc>
          <w:tcPr>
            <w:tcW w:w="2550"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41,10</w:t>
            </w:r>
          </w:p>
        </w:tc>
      </w:tr>
    </w:tbl>
    <w:p>
      <w:pPr>
        <w:pStyle w:val="Normal"/>
        <w:rPr/>
      </w:pPr>
      <w:r>
        <w:rPr/>
      </w:r>
    </w:p>
    <w:p>
      <w:pPr>
        <w:pStyle w:val="Normal"/>
        <w:spacing w:before="120" w:after="200"/>
        <w:ind w:hanging="0"/>
        <w:jc w:val="left"/>
        <w:rPr>
          <w:rFonts w:ascii="Arial Narrow" w:hAnsi="Arial Narrow"/>
          <w:b/>
          <w:bCs/>
          <w:sz w:val="20"/>
          <w:szCs w:val="24"/>
        </w:rPr>
      </w:pPr>
      <w:r>
        <w:rPr>
          <w:rFonts w:ascii="Arial Narrow" w:hAnsi="Arial Narrow"/>
          <w:b/>
          <w:bCs/>
          <w:sz w:val="20"/>
          <w:szCs w:val="24"/>
        </w:rPr>
      </w:r>
    </w:p>
    <w:p>
      <w:pPr>
        <w:sectPr>
          <w:headerReference w:type="default" r:id="rId66"/>
          <w:headerReference w:type="first" r:id="rId67"/>
          <w:footerReference w:type="default" r:id="rId68"/>
          <w:footerReference w:type="first" r:id="rId69"/>
          <w:type w:val="nextPage"/>
          <w:pgSz w:w="11906" w:h="16838"/>
          <w:pgMar w:left="1701" w:right="1134" w:gutter="0" w:header="510" w:top="849" w:footer="300" w:bottom="1134"/>
          <w:pgNumType w:fmt="decimal"/>
          <w:formProt w:val="false"/>
          <w:textDirection w:val="lrTb"/>
          <w:docGrid w:type="default" w:linePitch="360" w:charSpace="0"/>
        </w:sectPr>
        <w:pStyle w:val="Normal"/>
        <w:spacing w:before="120" w:after="200"/>
        <w:ind w:hanging="0"/>
        <w:jc w:val="left"/>
        <w:rPr>
          <w:rFonts w:ascii="Arial Narrow" w:hAnsi="Arial Narrow"/>
          <w:b/>
          <w:bCs/>
          <w:sz w:val="20"/>
          <w:szCs w:val="24"/>
        </w:rPr>
      </w:pPr>
      <w:r>
        <w:rPr>
          <w:rFonts w:ascii="Arial Narrow" w:hAnsi="Arial Narrow"/>
          <w:b/>
          <w:bCs/>
          <w:sz w:val="20"/>
          <w:szCs w:val="24"/>
        </w:rPr>
      </w:r>
    </w:p>
    <w:p>
      <w:pPr>
        <w:pStyle w:val="Normal"/>
        <w:spacing w:before="120" w:after="200"/>
        <w:ind w:hanging="0"/>
        <w:jc w:val="left"/>
        <w:rPr>
          <w:rFonts w:ascii="Arial Narrow" w:hAnsi="Arial Narrow"/>
          <w:b/>
          <w:bCs/>
          <w:sz w:val="20"/>
          <w:szCs w:val="24"/>
        </w:rPr>
      </w:pPr>
      <w:bookmarkStart w:id="152" w:name="_Toc132971372"/>
      <w:bookmarkStart w:id="153" w:name="_Toc374252671"/>
      <w:r>
        <w:rPr>
          <w:rFonts w:ascii="Arial Narrow" w:hAnsi="Arial Narrow"/>
          <w:b/>
          <w:bCs/>
          <w:sz w:val="20"/>
          <w:szCs w:val="24"/>
        </w:rPr>
        <w:t>Таблица 4.</w:t>
      </w:r>
      <w:r>
        <w:rPr>
          <w:rFonts w:ascii="Arial Narrow" w:hAnsi="Arial Narrow"/>
          <w:b/>
          <w:bCs/>
          <w:sz w:val="20"/>
          <w:szCs w:val="24"/>
        </w:rPr>
        <w:fldChar w:fldCharType="begin"/>
      </w:r>
      <w:r>
        <w:rPr>
          <w:sz w:val="20"/>
          <w:b/>
          <w:szCs w:val="24"/>
          <w:bCs/>
          <w:rFonts w:ascii="Arial Narrow" w:hAnsi="Arial Narrow"/>
        </w:rPr>
        <w:instrText xml:space="preserve"> SEQ Таблица \* ARABIC </w:instrText>
      </w:r>
      <w:r>
        <w:rPr>
          <w:sz w:val="20"/>
          <w:b/>
          <w:szCs w:val="24"/>
          <w:bCs/>
          <w:rFonts w:ascii="Arial Narrow" w:hAnsi="Arial Narrow"/>
        </w:rPr>
        <w:fldChar w:fldCharType="separate"/>
      </w:r>
      <w:r>
        <w:rPr>
          <w:sz w:val="20"/>
          <w:b/>
          <w:szCs w:val="24"/>
          <w:bCs/>
          <w:rFonts w:ascii="Arial Narrow" w:hAnsi="Arial Narrow"/>
        </w:rPr>
        <w:t>2</w:t>
      </w:r>
      <w:r>
        <w:rPr>
          <w:sz w:val="20"/>
          <w:b/>
          <w:szCs w:val="24"/>
          <w:bCs/>
          <w:rFonts w:ascii="Arial Narrow" w:hAnsi="Arial Narrow"/>
        </w:rPr>
        <w:fldChar w:fldCharType="end"/>
      </w:r>
      <w:r>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52"/>
      <w:bookmarkEnd w:id="153"/>
    </w:p>
    <w:tbl>
      <w:tblPr>
        <w:tblW w:w="20830" w:type="dxa"/>
        <w:jc w:val="left"/>
        <w:tblInd w:w="103" w:type="dxa"/>
        <w:tblLayout w:type="fixed"/>
        <w:tblCellMar>
          <w:top w:w="0" w:type="dxa"/>
          <w:left w:w="28" w:type="dxa"/>
          <w:bottom w:w="0" w:type="dxa"/>
          <w:right w:w="28" w:type="dxa"/>
        </w:tblCellMar>
        <w:tblLook w:firstRow="1" w:noVBand="1" w:lastRow="0" w:firstColumn="1" w:lastColumn="0" w:noHBand="0" w:val="04a0"/>
      </w:tblPr>
      <w:tblGrid>
        <w:gridCol w:w="3941"/>
        <w:gridCol w:w="1574"/>
        <w:gridCol w:w="1144"/>
        <w:gridCol w:w="906"/>
        <w:gridCol w:w="1048"/>
        <w:gridCol w:w="1693"/>
        <w:gridCol w:w="875"/>
        <w:gridCol w:w="939"/>
        <w:gridCol w:w="1694"/>
        <w:gridCol w:w="875"/>
        <w:gridCol w:w="941"/>
        <w:gridCol w:w="1692"/>
        <w:gridCol w:w="875"/>
        <w:gridCol w:w="941"/>
        <w:gridCol w:w="1692"/>
      </w:tblGrid>
      <w:tr>
        <w:trPr>
          <w:tblHeader w:val="true"/>
          <w:trHeight w:val="780" w:hRule="atLeast"/>
        </w:trPr>
        <w:tc>
          <w:tcPr>
            <w:tcW w:w="394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Адрес котельной</w:t>
            </w:r>
          </w:p>
        </w:tc>
        <w:tc>
          <w:tcPr>
            <w:tcW w:w="1574"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Располагаемая  мощность</w:t>
            </w:r>
          </w:p>
        </w:tc>
        <w:tc>
          <w:tcPr>
            <w:tcW w:w="1144"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Потери мощности на СН</w:t>
            </w:r>
          </w:p>
        </w:tc>
        <w:tc>
          <w:tcPr>
            <w:tcW w:w="906"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Потери в ТС факт</w:t>
            </w:r>
          </w:p>
        </w:tc>
        <w:tc>
          <w:tcPr>
            <w:tcW w:w="1048"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Нагрузки факт</w:t>
            </w:r>
          </w:p>
        </w:tc>
        <w:tc>
          <w:tcPr>
            <w:tcW w:w="1693"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Резерв/дефицит по факту</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прирост 2013-2017</w:t>
            </w:r>
          </w:p>
        </w:tc>
        <w:tc>
          <w:tcPr>
            <w:tcW w:w="939"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Нагрузка 2018</w:t>
            </w:r>
          </w:p>
        </w:tc>
        <w:tc>
          <w:tcPr>
            <w:tcW w:w="1694"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Резерв/дефицит 2018</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прирост 2018-2022</w:t>
            </w:r>
          </w:p>
        </w:tc>
        <w:tc>
          <w:tcPr>
            <w:tcW w:w="941"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Нагрузка 2023</w:t>
            </w:r>
          </w:p>
        </w:tc>
        <w:tc>
          <w:tcPr>
            <w:tcW w:w="1692"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Резерв/дефицит 2023</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прирост 2023-2027</w:t>
            </w:r>
          </w:p>
        </w:tc>
        <w:tc>
          <w:tcPr>
            <w:tcW w:w="941"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Нагрузка 2028</w:t>
            </w:r>
          </w:p>
        </w:tc>
        <w:tc>
          <w:tcPr>
            <w:tcW w:w="1692"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Резерв/дефицит 2028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852,13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18,42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64,46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569,30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199,88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32,15</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601,45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167,80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30,62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632,07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137,18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32,48</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664,55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104,70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11,07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Ипподромная,37</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Пер.Воскресенский,29 «б»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2,73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Вилонова,40</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15,79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0,13</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2-ой Тульский пер.,5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7,12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Тульская,78 «в»</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8,63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Чижевского,12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5,16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Калужская,6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Школьная,7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Дзержинского,83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17,52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0,93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 31а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7,83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Московская,14</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5,58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Никитина,95б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15,83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Кирова,67а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Пл. Победы,9а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14,40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Мичурина,9в</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8,56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Луначарского,6а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4,96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Пролетарская,111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с.Росва,ул.Московская,9а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8,05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Театральная,4г</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Кутузова,4а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12,32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ул.Кропоткина,4а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2,55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 «б»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Беговая,15</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Вишневского,3а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7,15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 Вишневского,3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14,73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Калуга-Бор, 15а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1,81</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Светлая, 58</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с.Сосновый Бор, 10а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Советская, 20в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4,39</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19,55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29,21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ул.Пестеля, 32 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ул.Гвардейская.15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21,80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1,68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Подвойского,7</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10,84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ул.П.Свободы,131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6,99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ул.Шахтеров,3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11,53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Пер.Аэропортовский,1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0,31</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9,47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ул.Ф.Энгельса,13а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ул.Ольговская,19а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15,24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М.Горького,1б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19,45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0,99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ул.Ленина,26а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5,53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7,09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шоссе,22б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ул.Тарутинская,171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ул.Аэропортовская,в/ч 15506</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3,77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ул.Чичерина,23а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ул.Баррикад,181а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ул.Телевизионная, 2 д</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ул.Кожедуба,11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4,44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ул.Чичерина,11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5,14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ул.Ленина,60а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7,49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Новослободская, 25а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3,54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Дубрава,14</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ул.Широкая,51б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ул.Новая стройка,1а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Пухова, 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5,89</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Тарутинская, 231а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1,81</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7,58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0,57</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11,26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11,26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20,75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Взлетная, 46</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59</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2,93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 </w:t>
            </w:r>
            <w:r>
              <w:rPr>
                <w:rFonts w:eastAsia="Times New Roman" w:cs="Arial"/>
                <w:spacing w:val="0"/>
                <w:sz w:val="20"/>
                <w:szCs w:val="20"/>
                <w:lang w:eastAsia="ru-RU"/>
              </w:rPr>
              <w:t>ул. Маршала Жукова, 40а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9,06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35</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3,67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ул.Социалистическая, 2а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8,68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Грабцевское шоссе,77а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3,74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Энтузиастов,6б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15,35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ул.Байконурская,11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21,00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0,46</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ул.Кибальчича,17а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21,50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10,80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4,92</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13,54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ул.Московская,299в</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6,87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ул.Московская,317а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6,62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Канищево,ул. Новая,41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3,34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Усадебная,2</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17,20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1,09</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0,22</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Муратовский щебзавод,19а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ул.Советская, 3б</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Лихун, п. Молодежный ул. Губернская,25</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103,97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3,61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18,96</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70,87</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27,20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11,11</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81,98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17,35</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ул.В.Восстания,12</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132,70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2,92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9,88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109,34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Шопино</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8,14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д.Колюпаново,15а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пос. Ромодановские дворики,55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ул.Тульское шоссе,28а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Одоевское шоссе,5а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65 лет Победы,51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12,32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Дорожная, 25</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0,344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0,344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0,344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Ул.Ермоловская,96</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Полесская, 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r>
      <w:tr>
        <w:trPr>
          <w:trHeight w:val="300" w:hRule="atLeast"/>
        </w:trPr>
        <w:tc>
          <w:tcPr>
            <w:tcW w:w="3941"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Ю. Круглова, 3</w:t>
            </w:r>
          </w:p>
        </w:tc>
        <w:tc>
          <w:tcPr>
            <w:tcW w:w="1574"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0,73</w:t>
            </w:r>
          </w:p>
        </w:tc>
        <w:tc>
          <w:tcPr>
            <w:tcW w:w="1144"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3"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2"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2" w:type="dxa"/>
            <w:tcBorders>
              <w:bottom w:val="single" w:sz="4" w:space="0" w:color="000000"/>
              <w:right w:val="single" w:sz="4" w:space="0" w:color="000000"/>
            </w:tcBorders>
            <w:shd w:color="auto" w:fill="FFFFFF" w:themeFill="background1"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bCs/>
                <w:spacing w:val="0"/>
                <w:sz w:val="20"/>
                <w:szCs w:val="20"/>
                <w:lang w:eastAsia="ru-RU"/>
              </w:rPr>
            </w:pPr>
            <w:r>
              <w:rPr>
                <w:rFonts w:eastAsia="Times New Roman" w:cs="Arial"/>
                <w:spacing w:val="0"/>
                <w:sz w:val="20"/>
                <w:szCs w:val="20"/>
                <w:lang w:eastAsia="ru-RU"/>
              </w:rPr>
              <w:t>Грабцевское шоссе, 115стр21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1,427</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пер. Малинники, 21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42,00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6,10</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r>
      <w:tr>
        <w:trPr>
          <w:trHeight w:val="397" w:hRule="atLeast"/>
        </w:trPr>
        <w:tc>
          <w:tcPr>
            <w:tcW w:w="3941" w:type="dxa"/>
            <w:tcBorders>
              <w:left w:val="single" w:sz="4" w:space="0" w:color="000000"/>
              <w:bottom w:val="single" w:sz="4" w:space="0" w:color="000000"/>
              <w:right w:val="single" w:sz="4" w:space="0" w:color="000000"/>
            </w:tcBorders>
            <w:shd w:color="auto" w:fill="auto" w:val="clear"/>
          </w:tcPr>
          <w:p>
            <w:pPr>
              <w:pStyle w:val="Normal"/>
              <w:spacing w:before="120" w:after="120"/>
              <w:ind w:hanging="0"/>
              <w:rPr>
                <w:rFonts w:eastAsia="Times New Roman" w:cs="Arial"/>
                <w:spacing w:val="0"/>
                <w:sz w:val="20"/>
                <w:szCs w:val="20"/>
                <w:lang w:eastAsia="ru-RU"/>
              </w:rPr>
            </w:pPr>
            <w:r>
              <w:rPr>
                <w:rFonts w:eastAsia="Times New Roman" w:cs="Arial"/>
                <w:spacing w:val="0"/>
                <w:sz w:val="20"/>
                <w:szCs w:val="20"/>
                <w:lang w:eastAsia="ru-RU"/>
              </w:rPr>
              <w:t>Котельная по ул. Гурьянова, 71 "а"</w:t>
            </w:r>
          </w:p>
        </w:tc>
        <w:tc>
          <w:tcPr>
            <w:tcW w:w="1574"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7,00</w:t>
            </w:r>
          </w:p>
        </w:tc>
        <w:tc>
          <w:tcPr>
            <w:tcW w:w="1144"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0,82</w:t>
            </w:r>
          </w:p>
        </w:tc>
        <w:tc>
          <w:tcPr>
            <w:tcW w:w="1048"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3"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0,59</w:t>
            </w:r>
          </w:p>
        </w:tc>
        <w:tc>
          <w:tcPr>
            <w:tcW w:w="875"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4"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2"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2" w:type="dxa"/>
            <w:tcBorders>
              <w:bottom w:val="single" w:sz="4" w:space="0" w:color="000000"/>
              <w:right w:val="single" w:sz="4" w:space="0" w:color="000000"/>
            </w:tcBorders>
            <w:shd w:color="auto" w:fill="auto" w:val="clear"/>
            <w:vAlign w:val="center"/>
          </w:tcPr>
          <w:p>
            <w:pPr>
              <w:pStyle w:val="Normal"/>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Прочие организации</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624,04</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23,97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55,64</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203,61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340,80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209,66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334,77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216,95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327,48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216,95</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ул. Ленина, 23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122,00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11,20</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141</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95,10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13,92</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Механизаторов, 38</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Карла Маркса, д.4</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Пушкина, д.19</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3,95</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д. 174</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79,50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12,88</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62,38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5,51</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56,87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7,29</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49,58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25,68</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д. 249</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12,52</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Товарная,13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ул. С. Щедрина, 121 </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132,00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29,00</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95,97</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302</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44,48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Тарутинская, 17 "а"</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6,88</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-0,80</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2-й Академический проезд, 13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1-й Академический проезд, 23</w:t>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5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1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r>
    </w:tbl>
    <w:p>
      <w:pPr>
        <w:sectPr>
          <w:headerReference w:type="default" r:id="rId70"/>
          <w:headerReference w:type="first" r:id="rId71"/>
          <w:footerReference w:type="default" r:id="rId72"/>
          <w:footerReference w:type="first" r:id="rId73"/>
          <w:type w:val="nextPage"/>
          <w:pgSz w:orient="landscape" w:w="23811" w:h="16838"/>
          <w:pgMar w:left="851" w:right="1134" w:gutter="0" w:header="510" w:top="1134" w:footer="301" w:bottom="1701"/>
          <w:pgNumType w:fmt="decimal"/>
          <w:formProt w:val="false"/>
          <w:textDirection w:val="lrTb"/>
          <w:docGrid w:type="default" w:linePitch="360" w:charSpace="0"/>
        </w:sectPr>
      </w:pPr>
    </w:p>
    <w:p>
      <w:pPr>
        <w:pStyle w:val="Normal"/>
        <w:spacing w:lineRule="auto" w:line="360"/>
        <w:rPr>
          <w:rFonts w:cs="Arial"/>
          <w:sz w:val="24"/>
          <w:szCs w:val="24"/>
          <w:lang w:eastAsia="ru-RU"/>
        </w:rPr>
      </w:pPr>
      <w:r>
        <w:rPr>
          <w:rFonts w:cs="Arial"/>
          <w:sz w:val="24"/>
          <w:szCs w:val="24"/>
          <w:lang w:eastAsia="ru-RU"/>
        </w:rPr>
        <w:t>Так 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pPr>
        <w:pStyle w:val="Normal"/>
        <w:spacing w:lineRule="auto" w:line="360"/>
        <w:rPr>
          <w:rFonts w:cs="Arial"/>
          <w:sz w:val="24"/>
          <w:szCs w:val="24"/>
          <w:lang w:eastAsia="ru-RU"/>
        </w:rPr>
      </w:pPr>
      <w:r>
        <w:rPr>
          <w:rFonts w:cs="Arial"/>
          <w:sz w:val="24"/>
          <w:szCs w:val="24"/>
          <w:lang w:eastAsia="ru-RU"/>
        </w:rPr>
        <w:t>Зона № 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2013-2017 гг.: 0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2018-2022 гг.: 20,25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2023-2027 гг.: 45,22 Гкал/ч.</w:t>
      </w:r>
    </w:p>
    <w:p>
      <w:pPr>
        <w:pStyle w:val="Normal"/>
        <w:spacing w:lineRule="auto" w:line="360"/>
        <w:rPr>
          <w:rFonts w:cs="Arial"/>
          <w:sz w:val="24"/>
          <w:szCs w:val="24"/>
          <w:lang w:eastAsia="ru-RU"/>
        </w:rPr>
      </w:pPr>
      <w:r>
        <w:rPr>
          <w:rFonts w:cs="Arial"/>
          <w:sz w:val="24"/>
          <w:szCs w:val="24"/>
          <w:lang w:eastAsia="ru-RU"/>
        </w:rPr>
        <w:t>Зона № 2 расположена на территории микрорайона перспективной застройки «Ольговский», прогнозируемый прирост тепловой нагрузки в данной зоне составляет:</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2013-2017 гг.: 0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2018-2022 гг.: 20,47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2023-2027 гг.: 30,94 Гкал/ч.</w:t>
      </w:r>
    </w:p>
    <w:p>
      <w:pPr>
        <w:pStyle w:val="Normal"/>
        <w:ind w:hanging="0"/>
        <w:rPr/>
      </w:pPr>
      <w:r>
        <w:rPr/>
      </w:r>
    </w:p>
    <w:p>
      <w:pPr>
        <w:pStyle w:val="Normal"/>
        <w:spacing w:lineRule="auto" w:line="360"/>
        <w:rPr>
          <w:rFonts w:cs="Arial"/>
          <w:sz w:val="24"/>
          <w:szCs w:val="24"/>
          <w:lang w:eastAsia="ru-RU"/>
        </w:rPr>
      </w:pPr>
      <w:r>
        <w:rPr>
          <w:rFonts w:cs="Arial"/>
          <w:sz w:val="24"/>
          <w:szCs w:val="24"/>
          <w:lang w:eastAsia="ru-RU"/>
        </w:rPr>
        <w:t>По итогам анализа полученных результатов сделаны следующие выводы.</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ул.Советская, д.20а – 7,5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ул.Тарутинская, д.231а – 0,01 Гкал/ч к 2017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ул.Кибальчича, д.17а – 7,8 Гкал/ч к 2022 году с увеличением дефицита до 12,7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1-й Академический проезд, д.29 – 1,3 Гкал/ч к 2027 году.</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В микрорайоне перспективной застройки «Ольговский» - 20,47 Гкал/ч к 2022 году с увеличением до 58,41 Гкал/ч к 2027 году.</w:t>
      </w:r>
    </w:p>
    <w:p>
      <w:pPr>
        <w:pStyle w:val="Normal"/>
        <w:spacing w:lineRule="auto" w:line="360"/>
        <w:rPr>
          <w:rFonts w:cs="Arial"/>
          <w:sz w:val="24"/>
          <w:szCs w:val="24"/>
          <w:lang w:eastAsia="ru-RU"/>
        </w:rPr>
      </w:pPr>
      <w:bookmarkStart w:id="154" w:name="_Toc368331445"/>
      <w:r>
        <w:rPr>
          <w:rFonts w:cs="Arial"/>
          <w:sz w:val="24"/>
          <w:szCs w:val="24"/>
          <w:lang w:eastAsia="ru-RU"/>
        </w:rPr>
        <w:t>На основе вышеизложенного анализа при развитии системы теплоснабжения в соответствии со сценарием №1 предварительно предлагается реализация следующих мероприятий:</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Советская, 20а  с увеличением установленной тепловой мощности на 10 Гкал/ч (до 32,5 Гкал/ч) в период до 2025-2027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Тарутинская, 231а с увеличением установленной тепловой мощности на 0,7 Гкал/ч (до 2,5 Гкал/ч) в период до 2015-2017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Веры Андриановой, 64а  с увеличением установленной тепловой мощности на 8,9 Гкал/ч (до 9,9Гкал/ч) в период до 2022-2023гг.; для переключения потребителей тепловой энергии от котельной АО «Калугапутьмаш», в связи с согласование вывода из эксплуатации источника теплой энергии АО «Калугапутьмаш» с 11.11.2023 года и во исполнения п.3 постановления Городской Управы города Калуги от 19.12.2020 № 10150-пи.</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Кибальчича, 17а с увеличением установленной тепловой мощности на 10 Гкал/ч (до 31,5 Гкал/ч) в период до 2020-2022 гг. и последующим увеличением на 5 Гкал/ч до 2025-2027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pPr>
        <w:pStyle w:val="ListParagraph"/>
        <w:numPr>
          <w:ilvl w:val="0"/>
          <w:numId w:val="36"/>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pPr>
        <w:pStyle w:val="ListParagraph"/>
        <w:numPr>
          <w:ilvl w:val="0"/>
          <w:numId w:val="36"/>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pPr>
        <w:pStyle w:val="ListParagraph"/>
        <w:numPr>
          <w:ilvl w:val="0"/>
          <w:numId w:val="36"/>
        </w:numPr>
        <w:spacing w:lineRule="auto" w:line="360"/>
        <w:rPr>
          <w:rFonts w:cs="Arial"/>
          <w:sz w:val="24"/>
          <w:szCs w:val="24"/>
          <w:lang w:eastAsia="ru-RU"/>
        </w:rPr>
      </w:pPr>
      <w:r>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pPr>
        <w:pStyle w:val="Normal"/>
        <w:numPr>
          <w:ilvl w:val="0"/>
          <w:numId w:val="0"/>
        </w:numPr>
        <w:suppressAutoHyphens w:val="true"/>
        <w:spacing w:before="240" w:after="120"/>
        <w:ind w:hanging="0" w:left="992"/>
        <w:jc w:val="center"/>
        <w:outlineLvl w:val="1"/>
        <w:rPr>
          <w:rFonts w:ascii="Arial Black" w:hAnsi="Arial Black"/>
          <w:spacing w:val="-10"/>
          <w:kern w:val="2"/>
          <w:szCs w:val="24"/>
        </w:rPr>
      </w:pPr>
      <w:bookmarkStart w:id="155" w:name="_Toc368331445"/>
      <w:bookmarkStart w:id="156" w:name="_Toc132981684"/>
      <w:r>
        <w:rPr>
          <w:rFonts w:ascii="Arial Black" w:hAnsi="Arial Black"/>
          <w:spacing w:val="-10"/>
          <w:kern w:val="2"/>
          <w:szCs w:val="24"/>
        </w:rPr>
        <w:t>4.2.1 Сценарий № 2 «Вариационный»</w:t>
      </w:r>
      <w:bookmarkEnd w:id="155"/>
      <w:bookmarkEnd w:id="156"/>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pPr>
        <w:pStyle w:val="Normal"/>
        <w:spacing w:lineRule="auto" w:line="360"/>
        <w:rPr>
          <w:rFonts w:cs="Arial"/>
          <w:sz w:val="24"/>
          <w:szCs w:val="24"/>
          <w:lang w:eastAsia="ru-RU"/>
        </w:rPr>
      </w:pPr>
      <w:r>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«Московская, 317а»  МУП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pPr>
        <w:pStyle w:val="ListParagraph"/>
        <w:numPr>
          <w:ilvl w:val="0"/>
          <w:numId w:val="18"/>
        </w:numPr>
        <w:spacing w:lineRule="auto" w:line="360"/>
        <w:rPr>
          <w:rFonts w:cs="Arial"/>
          <w:sz w:val="24"/>
          <w:szCs w:val="24"/>
          <w:lang w:eastAsia="ru-RU"/>
        </w:rPr>
      </w:pPr>
      <w:r>
        <w:rPr>
          <w:rFonts w:cs="Arial"/>
          <w:sz w:val="24"/>
          <w:szCs w:val="24"/>
          <w:lang w:eastAsia="ru-RU"/>
        </w:rPr>
        <w:t xml:space="preserve"> </w:t>
      </w:r>
      <w:r>
        <w:rPr>
          <w:rFonts w:cs="Arial"/>
          <w:sz w:val="24"/>
          <w:szCs w:val="24"/>
          <w:lang w:eastAsia="ru-RU"/>
        </w:rPr>
        <w:t>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«Хрустальная, 18а» МУП «Калугатеплосеть» с выводом из эксплуатации котельной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 Горького, 1б» МУП «Калугатеплосеть»  с выводом из эксплуатации котельной «Ф. Энгельса, 13а» ,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w:t>
      </w:r>
    </w:p>
    <w:p>
      <w:pPr>
        <w:pStyle w:val="ListParagraph"/>
        <w:numPr>
          <w:ilvl w:val="0"/>
          <w:numId w:val="18"/>
        </w:numPr>
        <w:spacing w:lineRule="auto" w:line="360"/>
        <w:rPr>
          <w:rFonts w:cs="Arial"/>
          <w:sz w:val="24"/>
          <w:szCs w:val="24"/>
          <w:lang w:eastAsia="ru-RU"/>
        </w:rPr>
      </w:pPr>
      <w:r>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«Кирова, 67а»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Модернизация котельной «Никитина, 95б»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pPr>
        <w:pStyle w:val="ListParagraph"/>
        <w:numPr>
          <w:ilvl w:val="0"/>
          <w:numId w:val="18"/>
        </w:numPr>
        <w:spacing w:lineRule="auto" w:line="360"/>
        <w:rPr>
          <w:rFonts w:cs="Arial"/>
          <w:sz w:val="24"/>
          <w:szCs w:val="24"/>
          <w:lang w:eastAsia="ru-RU"/>
        </w:rPr>
      </w:pPr>
      <w:r>
        <w:rPr>
          <w:rFonts w:cs="Arial"/>
          <w:sz w:val="24"/>
          <w:szCs w:val="24"/>
          <w:lang w:eastAsia="ru-RU"/>
        </w:rPr>
        <w:t>Модернизация котельной «Поле Свободы, 131а»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 Андриановой, 5а» МУП «Калугатеплосеть»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«Вишневского,1» МУП «Калугатеплосеть»  с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Маяковского, 59 с увеличением мощности для переключения новых потребителей.</w:t>
      </w:r>
    </w:p>
    <w:p>
      <w:pPr>
        <w:pStyle w:val="ListParagraph"/>
        <w:numPr>
          <w:ilvl w:val="0"/>
          <w:numId w:val="18"/>
        </w:numPr>
        <w:spacing w:lineRule="auto" w:line="360"/>
        <w:rPr>
          <w:rFonts w:cs="Arial"/>
          <w:sz w:val="24"/>
          <w:szCs w:val="24"/>
          <w:lang w:eastAsia="ru-RU"/>
        </w:rPr>
      </w:pPr>
      <w:r>
        <w:rPr>
          <w:rFonts w:cs="Arial"/>
          <w:sz w:val="24"/>
          <w:szCs w:val="24"/>
          <w:lang w:eastAsia="ru-RU"/>
        </w:rPr>
        <w:t xml:space="preserve">Реконструкция котельной пер. Малинники, 21  с переключением потребителей на обслуживание от реконструируемой котельной. </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районе Гребцовского шоссе с выводом из эксплуатации котельных «Грабцевское шоссе, 31», «»Ленина, 23»,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pPr>
        <w:pStyle w:val="ListParagraph"/>
        <w:numPr>
          <w:ilvl w:val="0"/>
          <w:numId w:val="18"/>
        </w:numPr>
        <w:spacing w:lineRule="auto" w:line="360"/>
        <w:rPr>
          <w:rFonts w:cs="Arial"/>
          <w:sz w:val="24"/>
          <w:szCs w:val="24"/>
          <w:lang w:eastAsia="ru-RU"/>
        </w:rPr>
      </w:pPr>
      <w:r>
        <w:rPr>
          <w:rFonts w:cs="Arial"/>
          <w:sz w:val="24"/>
          <w:szCs w:val="24"/>
          <w:lang w:eastAsia="ru-RU"/>
        </w:rPr>
        <w:t>Переключение потребителей котельной «КЭМЗ» (Салтыкова-Щедрина, 121) на обслуживание от котельной АО «АЗИМУТ» (БЫВ.ОАО «КЗТА») (Салтыкова -Щедрина, 141).</w:t>
      </w:r>
    </w:p>
    <w:p>
      <w:pPr>
        <w:pStyle w:val="ListParagraph"/>
        <w:numPr>
          <w:ilvl w:val="0"/>
          <w:numId w:val="18"/>
        </w:numPr>
        <w:spacing w:lineRule="auto" w:line="360"/>
        <w:rPr>
          <w:rFonts w:cs="Arial"/>
          <w:sz w:val="24"/>
          <w:szCs w:val="24"/>
          <w:lang w:eastAsia="ru-RU"/>
        </w:rPr>
      </w:pPr>
      <w:r>
        <w:rPr>
          <w:rFonts w:cs="Arial"/>
          <w:sz w:val="24"/>
          <w:szCs w:val="24"/>
          <w:lang w:eastAsia="ru-RU"/>
        </w:rPr>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pPr>
        <w:pStyle w:val="Normal"/>
        <w:spacing w:lineRule="auto" w:line="360"/>
        <w:rPr>
          <w:sz w:val="24"/>
          <w:lang w:eastAsia="ru-RU"/>
        </w:rPr>
      </w:pPr>
      <w:r>
        <w:rPr>
          <w:sz w:val="24"/>
          <w:lang w:eastAsia="ru-RU"/>
        </w:rPr>
        <w:t xml:space="preserve">Между АО «Квадра» - «Калужская генерация» и ПАО «Калужский турбинный завод» заключено Соглашение о намерениях заключить договор о передаче тепловых сетей и тепловых нагрузок, находящихся в зоне ответственности ПАО «Калужский турбинный завод» (по зоне присутствия №105).  </w:t>
      </w:r>
    </w:p>
    <w:p>
      <w:pPr>
        <w:pStyle w:val="Normal"/>
        <w:spacing w:lineRule="auto" w:line="360"/>
        <w:rPr>
          <w:rFonts w:cs="Arial"/>
          <w:color w:val="FF0000"/>
          <w:sz w:val="24"/>
          <w:szCs w:val="24"/>
          <w:lang w:eastAsia="ru-RU"/>
        </w:rPr>
      </w:pPr>
      <w:r>
        <w:rPr>
          <w:rFonts w:cs="Arial"/>
          <w:color w:val="FF0000"/>
          <w:sz w:val="24"/>
          <w:szCs w:val="24"/>
          <w:lang w:eastAsia="ru-RU"/>
        </w:rPr>
        <w:drawing>
          <wp:anchor behindDoc="1" distT="0" distB="0" distL="0" distR="0" simplePos="0" locked="0" layoutInCell="0" allowOverlap="1" relativeHeight="2">
            <wp:simplePos x="0" y="0"/>
            <wp:positionH relativeFrom="margin">
              <wp:posOffset>-612775</wp:posOffset>
            </wp:positionH>
            <wp:positionV relativeFrom="page">
              <wp:posOffset>2604135</wp:posOffset>
            </wp:positionV>
            <wp:extent cx="6777990" cy="10685780"/>
            <wp:effectExtent l="0" t="0" r="0" b="0"/>
            <wp:wrapNone/>
            <wp:docPr id="37" name="image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jpeg" descr=""/>
                    <pic:cNvPicPr>
                      <a:picLocks noChangeAspect="1" noChangeArrowheads="1"/>
                    </pic:cNvPicPr>
                  </pic:nvPicPr>
                  <pic:blipFill>
                    <a:blip r:embed="rId74"/>
                    <a:stretch>
                      <a:fillRect/>
                    </a:stretch>
                  </pic:blipFill>
                  <pic:spPr bwMode="auto">
                    <a:xfrm>
                      <a:off x="0" y="0"/>
                      <a:ext cx="6777990" cy="10685780"/>
                    </a:xfrm>
                    <a:prstGeom prst="rect">
                      <a:avLst/>
                    </a:prstGeom>
                    <a:noFill/>
                  </pic:spPr>
                </pic:pic>
              </a:graphicData>
            </a:graphic>
          </wp:anchor>
        </w:drawing>
      </w:r>
    </w:p>
    <w:p>
      <w:pPr>
        <w:pStyle w:val="Normal"/>
        <w:spacing w:lineRule="auto" w:line="360"/>
        <w:ind w:hanging="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ind w:hanging="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numPr>
          <w:ilvl w:val="0"/>
          <w:numId w:val="0"/>
        </w:numPr>
        <w:suppressAutoHyphens w:val="true"/>
        <w:spacing w:before="240" w:after="120"/>
        <w:ind w:hanging="0" w:left="992"/>
        <w:jc w:val="center"/>
        <w:outlineLvl w:val="1"/>
        <w:rPr>
          <w:rFonts w:ascii="Arial Black" w:hAnsi="Arial Black"/>
          <w:spacing w:val="-10"/>
          <w:kern w:val="2"/>
          <w:szCs w:val="24"/>
        </w:rPr>
      </w:pPr>
      <w:bookmarkStart w:id="157" w:name="_Toc132981685"/>
      <w:bookmarkStart w:id="158" w:name="_Toc368331446"/>
      <w:r>
        <w:rPr>
          <w:rFonts w:ascii="Arial Black" w:hAnsi="Arial Black"/>
          <w:spacing w:val="-10"/>
          <w:kern w:val="2"/>
          <w:szCs w:val="24"/>
        </w:rPr>
        <w:t>4.2.2. Сценарий № 3 «Когенерационный»</w:t>
      </w:r>
      <w:bookmarkEnd w:id="157"/>
      <w:bookmarkEnd w:id="158"/>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pPr>
        <w:pStyle w:val="Normal"/>
        <w:spacing w:lineRule="auto" w:line="360"/>
        <w:rPr>
          <w:rFonts w:cs="Arial"/>
          <w:sz w:val="24"/>
          <w:szCs w:val="24"/>
          <w:lang w:eastAsia="ru-RU"/>
        </w:rPr>
      </w:pPr>
      <w:r>
        <w:rPr>
          <w:rFonts w:cs="Arial"/>
          <w:sz w:val="24"/>
          <w:szCs w:val="24"/>
          <w:lang w:eastAsia="ru-RU"/>
        </w:rPr>
        <w:t>В соответствии с данным сценарием предлагаются следующие проекты.</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«Московская, 317а» МУП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 </w:t>
      </w:r>
      <w:r>
        <w:rPr>
          <w:rFonts w:cs="Arial"/>
          <w:sz w:val="24"/>
          <w:szCs w:val="24"/>
          <w:lang w:eastAsia="ru-RU"/>
        </w:rPr>
        <w:t>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«Хрустальная, 18а» МУП «Калугатеплосеть» с выводом из эксплуатации котельных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 Горького, 1б» МУП «Калугатеплосеть» с выводом из эксплуатации котельной «Ф. Энгельса, 13а»,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«Кирова, 67а»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Модернизация котельной «Никитина, 97б»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pPr>
        <w:pStyle w:val="ListParagraph"/>
        <w:numPr>
          <w:ilvl w:val="0"/>
          <w:numId w:val="19"/>
        </w:numPr>
        <w:spacing w:lineRule="auto" w:line="360"/>
        <w:rPr>
          <w:rFonts w:cs="Arial"/>
          <w:sz w:val="24"/>
          <w:szCs w:val="24"/>
          <w:lang w:eastAsia="ru-RU"/>
        </w:rPr>
      </w:pPr>
      <w:r>
        <w:rPr>
          <w:rFonts w:cs="Arial"/>
          <w:sz w:val="24"/>
          <w:szCs w:val="24"/>
          <w:lang w:eastAsia="ru-RU"/>
        </w:rPr>
        <w:t>Модернизация котельной «Поле Свободы, 131а»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 Андриановой, 5а» МУП «Калугатеплосеть»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«Вишневского,1» МУП «Калугатеплосеть» с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Реконструкция котельной Маяковского, 59 с увеличением мощности для переключения новых потребителей </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Строительство БМК для переключения потребителей с котельной пер. Малинники, 21. </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районе Грабцевского шоссе с выводом из эксплуатации котельных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Переключение потребителей котельной «КЭМЗ» (Салтыкова-Щедрина,</w:t>
      </w:r>
    </w:p>
    <w:p>
      <w:pPr>
        <w:pStyle w:val="ListParagraph"/>
        <w:spacing w:lineRule="auto" w:line="360"/>
        <w:ind w:hanging="0" w:left="927"/>
        <w:rPr>
          <w:rFonts w:cs="Arial"/>
          <w:sz w:val="24"/>
          <w:szCs w:val="24"/>
          <w:lang w:eastAsia="ru-RU"/>
        </w:rPr>
      </w:pPr>
      <w:r>
        <w:rPr>
          <w:rFonts w:cs="Arial"/>
          <w:sz w:val="24"/>
          <w:szCs w:val="24"/>
          <w:lang w:eastAsia="ru-RU"/>
        </w:rPr>
        <w:t>121) на обслуживание от котельной АО «Азимут» (БЫВ.ОАО «КЗТА») Салтыкова-Щедрина, 141).</w:t>
      </w:r>
    </w:p>
    <w:p>
      <w:pPr>
        <w:pStyle w:val="ListParagraph"/>
        <w:numPr>
          <w:ilvl w:val="0"/>
          <w:numId w:val="19"/>
        </w:numPr>
        <w:spacing w:lineRule="auto" w:line="360"/>
        <w:rPr>
          <w:rFonts w:cs="Arial"/>
          <w:sz w:val="24"/>
          <w:szCs w:val="24"/>
          <w:lang w:eastAsia="ru-RU"/>
        </w:rPr>
      </w:pPr>
      <w:r>
        <w:rPr>
          <w:rFonts w:cs="Arial"/>
          <w:sz w:val="24"/>
          <w:szCs w:val="24"/>
          <w:lang w:eastAsia="ru-RU"/>
        </w:rPr>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отдельно стоящей блочно-модульной котельной мощностью 2,5 Гкал/час, строительство тепловых сетей для потребителей котельной АО «Калугапутьмаш». В связи с согласованием вывода из эксплуатации источника теплой энергии АО «Калугапутьмаш» с 11.11.2023 года и во исполнения п.3 постановления Городской Управы города Калуги от 19.12.2020 № 10150-пи.</w:t>
      </w:r>
    </w:p>
    <w:p>
      <w:pPr>
        <w:pStyle w:val="Normal"/>
        <w:spacing w:lineRule="auto" w:line="360"/>
        <w:rPr>
          <w:rFonts w:cs="Arial"/>
          <w:sz w:val="24"/>
          <w:szCs w:val="24"/>
          <w:lang w:eastAsia="ru-RU"/>
        </w:rPr>
      </w:pPr>
      <w:r>
        <w:rPr>
          <w:rFonts w:cs="Arial"/>
          <w:sz w:val="24"/>
          <w:szCs w:val="24"/>
          <w:lang w:eastAsia="ru-RU"/>
        </w:rPr>
        <w:t xml:space="preserve">В результате реализации мероприятий установленная тепловая мощность энергоисточников, действующих в границах МО «Город Калуга», увеличится на 155,7 МВт и составит 1720 МВт., </w:t>
      </w:r>
    </w:p>
    <w:p>
      <w:pPr>
        <w:pStyle w:val="Normal"/>
        <w:spacing w:lineRule="auto" w:line="360"/>
        <w:rPr>
          <w:rFonts w:cs="Arial"/>
          <w:sz w:val="24"/>
          <w:szCs w:val="24"/>
          <w:lang w:eastAsia="ru-RU"/>
        </w:rPr>
      </w:pPr>
      <w:r>
        <w:rPr>
          <w:rFonts w:cs="Arial"/>
          <w:sz w:val="24"/>
          <w:szCs w:val="24"/>
          <w:lang w:eastAsia="ru-RU"/>
        </w:rPr>
        <w:t>Соотношение электрических мощностей по источникам ведомственной принадлежности приведено на рисунке 4.8.</w:t>
      </w:r>
    </w:p>
    <w:p>
      <w:pPr>
        <w:pStyle w:val="Normal"/>
        <w:spacing w:lineRule="auto" w:line="360"/>
        <w:rPr>
          <w:rFonts w:cs="Arial"/>
          <w:sz w:val="24"/>
          <w:szCs w:val="24"/>
          <w:highlight w:val="yellow"/>
          <w:lang w:eastAsia="ru-RU"/>
        </w:rPr>
      </w:pPr>
      <w:r>
        <w:rPr>
          <w:rFonts w:cs="Arial"/>
          <w:sz w:val="24"/>
          <w:szCs w:val="24"/>
          <w:highlight w:val="yellow"/>
          <w:lang w:eastAsia="ru-RU"/>
        </w:rPr>
      </w:r>
    </w:p>
    <w:p>
      <w:pPr>
        <w:pStyle w:val="Normal"/>
        <w:spacing w:lineRule="auto" w:line="360"/>
        <w:ind w:hanging="0"/>
        <w:rPr>
          <w:rFonts w:cs="Arial"/>
          <w:sz w:val="24"/>
          <w:szCs w:val="24"/>
          <w:highlight w:val="yellow"/>
          <w:lang w:eastAsia="ru-RU"/>
        </w:rPr>
      </w:pPr>
      <w:r>
        <w:rPr>
          <w:rFonts w:cs="Arial"/>
          <w:sz w:val="24"/>
          <w:szCs w:val="24"/>
          <w:highlight w:val="yellow"/>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bookmarkStart w:id="159" w:name="_Toc71274689"/>
      <w:bookmarkStart w:id="160" w:name="_Toc374400382"/>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8</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59"/>
      <w:bookmarkEnd w:id="160"/>
    </w:p>
    <w:p>
      <w:pPr>
        <w:pStyle w:val="Normal"/>
        <w:spacing w:lineRule="auto" w:line="360"/>
        <w:ind w:hanging="0"/>
        <w:rPr>
          <w:rFonts w:cs="Arial"/>
          <w:sz w:val="24"/>
          <w:szCs w:val="24"/>
          <w:highlight w:val="yellow"/>
          <w:lang w:eastAsia="ru-RU"/>
        </w:rPr>
      </w:pPr>
      <w:r>
        <w:rPr/>
        <w:drawing>
          <wp:inline distT="0" distB="0" distL="0" distR="0">
            <wp:extent cx="5406390" cy="3048000"/>
            <wp:effectExtent l="0" t="0" r="0" b="0"/>
            <wp:docPr id="38" name="Диаграмма 73773"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pPr>
        <w:pStyle w:val="Heading2"/>
        <w:rPr/>
      </w:pPr>
      <w:bookmarkStart w:id="161" w:name="_Toc132981686"/>
      <w:bookmarkStart w:id="162" w:name="_Toc368331447"/>
      <w:r>
        <w:rPr/>
        <w:t>Вариант развития системы теплоснабжения с переходом на использование индивидуальных тепловых пунктов (ИТП)</w:t>
      </w:r>
      <w:bookmarkEnd w:id="161"/>
      <w:bookmarkEnd w:id="162"/>
    </w:p>
    <w:p>
      <w:pPr>
        <w:pStyle w:val="Normal"/>
        <w:rPr/>
      </w:pPr>
      <w:r>
        <w:rPr/>
      </w:r>
    </w:p>
    <w:p>
      <w:pPr>
        <w:pStyle w:val="Normal"/>
        <w:spacing w:lineRule="auto" w:line="360"/>
        <w:rPr>
          <w:rFonts w:cs="Arial"/>
          <w:sz w:val="24"/>
          <w:szCs w:val="24"/>
          <w:lang w:eastAsia="ru-RU"/>
        </w:rPr>
      </w:pPr>
      <w:r>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pPr>
        <w:pStyle w:val="Normal"/>
        <w:spacing w:lineRule="auto" w:line="360"/>
        <w:rPr>
          <w:rFonts w:cs="Arial"/>
          <w:sz w:val="24"/>
          <w:szCs w:val="24"/>
          <w:lang w:eastAsia="ru-RU"/>
        </w:rPr>
      </w:pPr>
      <w:r>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Федерального Закона от 07.12.2011 № 416-ФЗ «О водоснабжении и водоотведении» в части запрета эксплуатации «открытых» систем ГВС. Данный вариант описан в п.3.5 Мастер-плана.</w:t>
      </w:r>
    </w:p>
    <w:p>
      <w:pPr>
        <w:pStyle w:val="Normal"/>
        <w:spacing w:lineRule="auto" w:line="360"/>
        <w:rPr>
          <w:rFonts w:cs="Arial"/>
          <w:sz w:val="24"/>
          <w:szCs w:val="24"/>
          <w:lang w:eastAsia="ru-RU"/>
        </w:rPr>
      </w:pPr>
      <w:r>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63" w:name="_Toc368331449"/>
    </w:p>
    <w:p>
      <w:pPr>
        <w:pStyle w:val="Normal"/>
        <w:spacing w:lineRule="auto" w:line="360"/>
        <w:rPr>
          <w:rFonts w:cs="Arial"/>
          <w:sz w:val="24"/>
          <w:szCs w:val="24"/>
          <w:lang w:eastAsia="ru-RU"/>
        </w:rPr>
      </w:pPr>
      <w:r>
        <w:rPr>
          <w:rFonts w:cs="Arial"/>
          <w:sz w:val="24"/>
          <w:szCs w:val="24"/>
          <w:lang w:eastAsia="ru-RU"/>
        </w:rPr>
      </w:r>
    </w:p>
    <w:p>
      <w:pPr>
        <w:pStyle w:val="Heading2"/>
        <w:rPr/>
      </w:pPr>
      <w:r>
        <w:rPr/>
        <w:t xml:space="preserve"> </w:t>
      </w:r>
      <w:r>
        <w:rPr/>
        <w:t>Сравнение вариантов развития системы теплоснабжения</w:t>
      </w:r>
      <w:bookmarkEnd w:id="163"/>
    </w:p>
    <w:p>
      <w:pPr>
        <w:pStyle w:val="Normal"/>
        <w:spacing w:lineRule="auto" w:line="360"/>
        <w:rPr>
          <w:rFonts w:cs="Arial"/>
          <w:sz w:val="24"/>
          <w:szCs w:val="24"/>
          <w:lang w:eastAsia="ru-RU"/>
        </w:rPr>
      </w:pPr>
      <w:r>
        <w:rPr>
          <w:rFonts w:cs="Arial"/>
          <w:sz w:val="24"/>
          <w:szCs w:val="24"/>
          <w:lang w:eastAsia="ru-RU"/>
        </w:rPr>
        <w:t>Сравнительная таблица для сценариев и вариантов развития системы теплоснабжения города Калуги представлена ниже (таблица 4.3).</w:t>
      </w:r>
    </w:p>
    <w:p>
      <w:pPr>
        <w:pStyle w:val="Normal"/>
        <w:spacing w:lineRule="auto" w:line="360"/>
        <w:rPr>
          <w:rFonts w:cs="Arial"/>
          <w:sz w:val="24"/>
          <w:szCs w:val="24"/>
          <w:lang w:eastAsia="ru-RU"/>
        </w:rPr>
      </w:pPr>
      <w:r>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Pr>
          <w:rFonts w:cs="Arial"/>
          <w:sz w:val="24"/>
          <w:szCs w:val="24"/>
          <w:lang w:val="en-US" w:eastAsia="ru-RU"/>
        </w:rPr>
        <w:t>MS</w:t>
      </w:r>
      <w:r>
        <w:rPr>
          <w:rFonts w:cs="Arial"/>
          <w:sz w:val="24"/>
          <w:szCs w:val="24"/>
          <w:lang w:eastAsia="ru-RU"/>
        </w:rPr>
        <w:t xml:space="preserve"> </w:t>
      </w:r>
      <w:r>
        <w:rPr>
          <w:rFonts w:cs="Arial"/>
          <w:sz w:val="24"/>
          <w:szCs w:val="24"/>
          <w:lang w:val="en-US" w:eastAsia="ru-RU"/>
        </w:rPr>
        <w:t>Excel</w:t>
      </w:r>
      <w:r>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pPr>
        <w:pStyle w:val="Normal"/>
        <w:spacing w:lineRule="auto" w:line="360"/>
        <w:rPr>
          <w:rFonts w:cs="Arial"/>
          <w:sz w:val="24"/>
          <w:szCs w:val="24"/>
          <w:lang w:eastAsia="ru-RU"/>
        </w:rPr>
      </w:pPr>
      <w:r>
        <w:rPr>
          <w:rFonts w:cs="Arial"/>
          <w:sz w:val="24"/>
          <w:szCs w:val="24"/>
          <w:lang w:eastAsia="ru-RU"/>
        </w:rPr>
        <w:t>Результаты расчетов приведены в соответствующих главах Обосновывающих материалов:</w:t>
      </w:r>
    </w:p>
    <w:p>
      <w:pPr>
        <w:pStyle w:val="Normal"/>
        <w:numPr>
          <w:ilvl w:val="0"/>
          <w:numId w:val="14"/>
        </w:numPr>
        <w:spacing w:lineRule="auto" w:line="360" w:before="120" w:after="120"/>
        <w:contextualSpacing/>
        <w:rPr>
          <w:rFonts w:cs="Arial"/>
          <w:sz w:val="24"/>
          <w:szCs w:val="24"/>
        </w:rPr>
      </w:pPr>
      <w:r>
        <w:rPr>
          <w:rFonts w:cs="Arial"/>
          <w:sz w:val="24"/>
          <w:szCs w:val="24"/>
          <w:lang w:eastAsia="ru-RU"/>
        </w:rPr>
        <w:t>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7 «</w:t>
      </w:r>
      <w:r>
        <w:rPr>
          <w:rFonts w:cs="Arial"/>
          <w:sz w:val="24"/>
          <w:szCs w:val="24"/>
        </w:rPr>
        <w:t>Предложения по строительству, реконструкции и техническому перевооружению источников тепловой энергии»</w:t>
      </w:r>
      <w:r>
        <w:rPr>
          <w:rFonts w:cs="Arial"/>
          <w:sz w:val="24"/>
          <w:szCs w:val="24"/>
          <w:lang w:eastAsia="ru-RU"/>
        </w:rPr>
        <w:t xml:space="preserve"> Обосновывающих материалов (шифр </w:t>
      </w:r>
      <w:r>
        <w:rPr>
          <w:rFonts w:cs="Arial"/>
          <w:sz w:val="24"/>
          <w:szCs w:val="24"/>
        </w:rPr>
        <w:t>29401.ОМ-ПСТ.007.000);</w:t>
      </w:r>
    </w:p>
    <w:p>
      <w:pPr>
        <w:pStyle w:val="Normal"/>
        <w:numPr>
          <w:ilvl w:val="0"/>
          <w:numId w:val="14"/>
        </w:numPr>
        <w:spacing w:lineRule="auto" w:line="360" w:before="120" w:after="120"/>
        <w:contextualSpacing/>
        <w:rPr>
          <w:rFonts w:cs="Arial"/>
          <w:sz w:val="24"/>
          <w:szCs w:val="24"/>
        </w:rPr>
      </w:pPr>
      <w:r>
        <w:rPr>
          <w:rFonts w:cs="Arial"/>
          <w:sz w:val="24"/>
          <w:szCs w:val="24"/>
          <w:lang w:eastAsia="ru-RU"/>
        </w:rPr>
        <w:t>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8 «</w:t>
      </w:r>
      <w:r>
        <w:rPr>
          <w:rFonts w:cs="Arial"/>
          <w:sz w:val="24"/>
          <w:szCs w:val="24"/>
        </w:rPr>
        <w:t>Предложения по строительству, реконструкции и модернизации тепловых сетей»</w:t>
      </w:r>
      <w:r>
        <w:rPr>
          <w:rFonts w:cs="Arial"/>
          <w:sz w:val="24"/>
          <w:szCs w:val="24"/>
          <w:lang w:eastAsia="ru-RU"/>
        </w:rPr>
        <w:t xml:space="preserve"> Обосновывающих материалов (шифр </w:t>
      </w:r>
      <w:r>
        <w:rPr>
          <w:rFonts w:cs="Arial"/>
          <w:sz w:val="24"/>
          <w:szCs w:val="24"/>
        </w:rPr>
        <w:t>29401.ОМ-ПСТ.008.000);</w:t>
      </w:r>
    </w:p>
    <w:p>
      <w:pPr>
        <w:pStyle w:val="Normal"/>
        <w:numPr>
          <w:ilvl w:val="0"/>
          <w:numId w:val="14"/>
        </w:numPr>
        <w:spacing w:lineRule="auto" w:line="360" w:before="120" w:after="120"/>
        <w:contextualSpacing/>
        <w:rPr>
          <w:rFonts w:cs="Arial"/>
          <w:sz w:val="24"/>
          <w:szCs w:val="24"/>
        </w:rPr>
      </w:pPr>
      <w:r>
        <w:rPr>
          <w:rFonts w:cs="Arial"/>
          <w:sz w:val="24"/>
          <w:szCs w:val="24"/>
        </w:rPr>
        <w:t>балансы тепловой мощности энергоисточников и тепловой нагрузки потребителей – в Главе 4 « Существующие и перспективные балансы тепловой мощности источников тепловой энергии и тепловой нагрузки» Обосновывающих материалов (шифр 29401.ОМ-ПСТ.004.000);</w:t>
      </w:r>
    </w:p>
    <w:p>
      <w:pPr>
        <w:pStyle w:val="Normal"/>
        <w:numPr>
          <w:ilvl w:val="0"/>
          <w:numId w:val="14"/>
        </w:numPr>
        <w:spacing w:lineRule="auto" w:line="360" w:before="120" w:after="120"/>
        <w:contextualSpacing/>
        <w:rPr>
          <w:rFonts w:cs="Arial"/>
          <w:sz w:val="24"/>
          <w:szCs w:val="24"/>
        </w:rPr>
      </w:pPr>
      <w:r>
        <w:rPr>
          <w:rFonts w:cs="Arial"/>
          <w:sz w:val="24"/>
          <w:szCs w:val="24"/>
        </w:rPr>
        <w:t>оценка эффективности инвестиций – в Главе 12 «Обоснование инвестиций в строительство, реконструкцию и техническое перевооружение и модернизацию» Обосновывающих материалов (шифр 29401.ОМ-ПСТ.012.000).</w:t>
      </w:r>
    </w:p>
    <w:p>
      <w:pPr>
        <w:pStyle w:val="Normal"/>
        <w:spacing w:lineRule="auto" w:line="360"/>
        <w:rPr>
          <w:rFonts w:cs="Arial"/>
          <w:sz w:val="24"/>
          <w:szCs w:val="24"/>
          <w:lang w:eastAsia="ru-RU"/>
        </w:rPr>
      </w:pPr>
      <w:r>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pPr>
        <w:pStyle w:val="Normal"/>
        <w:spacing w:lineRule="auto" w:line="360"/>
        <w:rPr>
          <w:rFonts w:cs="Arial"/>
          <w:sz w:val="24"/>
          <w:szCs w:val="24"/>
          <w:lang w:eastAsia="ru-RU"/>
        </w:rPr>
      </w:pPr>
      <w:r>
        <w:rPr>
          <w:rFonts w:cs="Arial"/>
          <w:sz w:val="24"/>
          <w:szCs w:val="24"/>
          <w:lang w:eastAsia="ru-RU"/>
        </w:rPr>
        <w:t>Выбор мероприятий для рекомендованного варианта осуществлялся исходя из следующих факторов:</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сравнение сроков окупаемости проектов (к реализации принимались проекты со сроком окупаемости, не превышающим 6 лет);</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анализ возможных ценовых последствий от реализации мероприятия;</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учет мнения теплоснабжающей организации.</w:t>
      </w:r>
    </w:p>
    <w:p>
      <w:pPr>
        <w:pStyle w:val="Normal"/>
        <w:spacing w:lineRule="auto" w:line="360"/>
        <w:ind w:hanging="0" w:left="927"/>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pPr>
        <w:pStyle w:val="Normal"/>
        <w:spacing w:lineRule="auto" w:line="360"/>
        <w:rPr>
          <w:rFonts w:cs="Arial"/>
          <w:sz w:val="24"/>
          <w:szCs w:val="24"/>
          <w:lang w:eastAsia="ru-RU"/>
        </w:rPr>
      </w:pPr>
      <w:r>
        <w:rPr>
          <w:rFonts w:cs="Arial"/>
          <w:sz w:val="24"/>
          <w:szCs w:val="24"/>
          <w:lang w:eastAsia="ru-RU"/>
        </w:rPr>
        <w:t>Состав мероприятий был скорректирован при выполнении ежегодной актуализации схемы теплоснабжения, в связи с выводом объектов из эксплуатации:</w:t>
      </w:r>
    </w:p>
    <w:p>
      <w:pPr>
        <w:pStyle w:val="Normal"/>
        <w:spacing w:lineRule="auto" w:line="360"/>
        <w:ind w:hanging="0"/>
        <w:rPr>
          <w:rFonts w:cs="Arial"/>
          <w:sz w:val="24"/>
          <w:szCs w:val="24"/>
          <w:lang w:eastAsia="ru-RU"/>
        </w:rPr>
      </w:pPr>
      <w:r>
        <w:rPr/>
        <w:drawing>
          <wp:inline distT="0" distB="0" distL="0" distR="0">
            <wp:extent cx="5797550" cy="8396605"/>
            <wp:effectExtent l="0" t="0" r="0" b="0"/>
            <wp:docPr id="39" name="Рисунок 737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73741" descr=""/>
                    <pic:cNvPicPr>
                      <a:picLocks noChangeAspect="1" noChangeArrowheads="1"/>
                    </pic:cNvPicPr>
                  </pic:nvPicPr>
                  <pic:blipFill>
                    <a:blip r:embed="rId76"/>
                    <a:stretch>
                      <a:fillRect/>
                    </a:stretch>
                  </pic:blipFill>
                  <pic:spPr bwMode="auto">
                    <a:xfrm>
                      <a:off x="0" y="0"/>
                      <a:ext cx="5797550" cy="8396605"/>
                    </a:xfrm>
                    <a:prstGeom prst="rect">
                      <a:avLst/>
                    </a:prstGeom>
                    <a:noFill/>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rFonts w:cs="Arial"/>
          <w:sz w:val="24"/>
          <w:szCs w:val="24"/>
          <w:lang w:eastAsia="ru-RU"/>
        </w:rPr>
        <w:tab/>
      </w:r>
      <w:r>
        <w:rPr>
          <w:rFonts w:eastAsia="Times New Roman" w:ascii="Arial Narrow" w:hAnsi="Arial Narrow"/>
          <w:b/>
          <w:bCs/>
          <w:spacing w:val="0"/>
          <w:sz w:val="20"/>
          <w:szCs w:val="24"/>
          <w:lang w:eastAsia="ru-RU"/>
        </w:rPr>
        <w:t>Рисунок 4.9.</w:t>
      </w:r>
      <w:r>
        <w:rPr/>
        <w:t xml:space="preserve"> </w:t>
      </w:r>
      <w:r>
        <w:rPr>
          <w:rFonts w:eastAsia="Times New Roman" w:ascii="Arial Narrow" w:hAnsi="Arial Narrow"/>
          <w:b/>
          <w:bCs/>
          <w:spacing w:val="0"/>
          <w:sz w:val="20"/>
          <w:szCs w:val="24"/>
          <w:lang w:eastAsia="ru-RU"/>
        </w:rPr>
        <w:t>Постановление Городской Управы города Калуги о выводе из эксплуатации котельной по адресу: г. Калуга, ул.Кирпичный завод МПС, 3а</w:t>
      </w:r>
    </w:p>
    <w:p>
      <w:pPr>
        <w:pStyle w:val="Normal"/>
        <w:tabs>
          <w:tab w:val="clear" w:pos="709"/>
          <w:tab w:val="left" w:pos="3600" w:leader="none"/>
        </w:tabs>
        <w:rPr>
          <w:rFonts w:cs="Arial"/>
          <w:sz w:val="24"/>
          <w:szCs w:val="24"/>
          <w:lang w:eastAsia="ru-RU"/>
        </w:rPr>
      </w:pPr>
      <w:r>
        <w:rPr>
          <w:rFonts w:cs="Arial"/>
          <w:sz w:val="24"/>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t xml:space="preserve">Рисунок 4.10 </w:t>
      </w:r>
      <w:r>
        <w:rPr/>
        <w:t xml:space="preserve"> </w:t>
      </w:r>
      <w:r>
        <w:rPr>
          <w:rFonts w:eastAsia="Times New Roman" w:ascii="Arial Narrow" w:hAnsi="Arial Narrow"/>
          <w:b/>
          <w:bCs/>
          <w:spacing w:val="0"/>
          <w:sz w:val="20"/>
          <w:szCs w:val="24"/>
          <w:lang w:eastAsia="ru-RU"/>
        </w:rPr>
        <w:t>Постановление Городской Управы города Калуги о выводе из эксплуатации котельной по адресу: г. Калуга, ул. Хрустальная,50а</w:t>
      </w:r>
    </w:p>
    <w:p>
      <w:pPr>
        <w:pStyle w:val="Normal"/>
        <w:spacing w:lineRule="auto" w:line="360"/>
        <w:ind w:hanging="0"/>
        <w:rPr>
          <w:rFonts w:cs="Arial"/>
          <w:sz w:val="24"/>
          <w:szCs w:val="24"/>
          <w:lang w:eastAsia="ru-RU"/>
        </w:rPr>
      </w:pPr>
      <w:r>
        <w:rPr/>
        <w:drawing>
          <wp:inline distT="0" distB="0" distL="0" distR="0">
            <wp:extent cx="5784215" cy="7492365"/>
            <wp:effectExtent l="0" t="0" r="0" b="0"/>
            <wp:docPr id="40" name="Рисунок 737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73742" descr=""/>
                    <pic:cNvPicPr>
                      <a:picLocks noChangeAspect="1" noChangeArrowheads="1"/>
                    </pic:cNvPicPr>
                  </pic:nvPicPr>
                  <pic:blipFill>
                    <a:blip r:embed="rId77"/>
                    <a:srcRect l="19628" t="8333" r="5337" b="16549"/>
                    <a:stretch>
                      <a:fillRect/>
                    </a:stretch>
                  </pic:blipFill>
                  <pic:spPr bwMode="auto">
                    <a:xfrm>
                      <a:off x="0" y="0"/>
                      <a:ext cx="5784215" cy="7492365"/>
                    </a:xfrm>
                    <a:prstGeom prst="rect">
                      <a:avLst/>
                    </a:prstGeom>
                    <a:noFill/>
                  </pic:spPr>
                </pic:pic>
              </a:graphicData>
            </a:graphic>
          </wp:inline>
        </w:drawing>
      </w:r>
    </w:p>
    <w:p>
      <w:pPr>
        <w:pStyle w:val="Normal"/>
        <w:spacing w:lineRule="auto" w:line="360"/>
        <w:ind w:hanging="0" w:left="927"/>
        <w:rPr>
          <w:rFonts w:cs="Arial"/>
          <w:sz w:val="24"/>
          <w:szCs w:val="24"/>
          <w:lang w:eastAsia="ru-RU"/>
        </w:rPr>
      </w:pPr>
      <w:r>
        <w:rPr>
          <w:rFonts w:cs="Arial"/>
          <w:sz w:val="24"/>
          <w:szCs w:val="24"/>
          <w:lang w:eastAsia="ru-RU"/>
        </w:rPr>
      </w:r>
    </w:p>
    <w:p>
      <w:pPr>
        <w:sectPr>
          <w:headerReference w:type="default" r:id="rId78"/>
          <w:headerReference w:type="first" r:id="rId79"/>
          <w:footerReference w:type="default" r:id="rId80"/>
          <w:footerReference w:type="first" r:id="rId81"/>
          <w:type w:val="nextPage"/>
          <w:pgSz w:w="11906" w:h="16838"/>
          <w:pgMar w:left="1701" w:right="1134" w:gutter="0" w:header="510" w:top="851" w:footer="301" w:bottom="1134"/>
          <w:pgNumType w:fmt="decimal"/>
          <w:formProt w:val="false"/>
          <w:textDirection w:val="lrTb"/>
          <w:docGrid w:type="default" w:linePitch="360" w:charSpace="0"/>
        </w:sectPr>
        <w:pStyle w:val="Normal"/>
        <w:widowControl/>
        <w:spacing w:before="0" w:after="0"/>
        <w:ind w:hanging="0"/>
        <w:jc w:val="left"/>
        <w:textAlignment w:val="auto"/>
        <w:rPr>
          <w:rFonts w:cs="Arial"/>
          <w:sz w:val="24"/>
          <w:szCs w:val="24"/>
        </w:rPr>
      </w:pPr>
      <w:r>
        <w:rPr>
          <w:rFonts w:cs="Arial"/>
          <w:sz w:val="24"/>
          <w:szCs w:val="24"/>
        </w:rPr>
      </w:r>
      <w:r>
        <w:br w:type="page"/>
      </w:r>
    </w:p>
    <w:p>
      <w:pPr>
        <w:pStyle w:val="Normal"/>
        <w:widowControl/>
        <w:spacing w:before="0" w:after="0"/>
        <w:ind w:hanging="0"/>
        <w:jc w:val="left"/>
        <w:textAlignment w:val="auto"/>
        <w:rPr>
          <w:rFonts w:cs="Arial"/>
          <w:b/>
          <w:bCs/>
          <w:sz w:val="24"/>
          <w:szCs w:val="24"/>
        </w:rPr>
      </w:pPr>
      <w:bookmarkStart w:id="164" w:name="_Toc132971373"/>
      <w:bookmarkStart w:id="165" w:name="_Toc374252672"/>
      <w:bookmarkStart w:id="166" w:name="_Toc359938604"/>
      <w:r>
        <w:rPr>
          <w:rFonts w:ascii="Arial Narrow" w:hAnsi="Arial Narrow"/>
          <w:b/>
          <w:bCs/>
          <w:sz w:val="24"/>
          <w:szCs w:val="24"/>
        </w:rPr>
        <w:t>Таблица 4.</w:t>
      </w:r>
      <w:r>
        <w:rPr>
          <w:rFonts w:ascii="Arial Narrow" w:hAnsi="Arial Narrow"/>
          <w:b/>
          <w:bCs/>
          <w:sz w:val="24"/>
          <w:szCs w:val="24"/>
        </w:rPr>
        <w:fldChar w:fldCharType="begin"/>
      </w:r>
      <w:r>
        <w:rPr>
          <w:sz w:val="24"/>
          <w:b/>
          <w:szCs w:val="24"/>
          <w:bCs/>
          <w:rFonts w:ascii="Arial Narrow" w:hAnsi="Arial Narrow"/>
        </w:rPr>
        <w:instrText xml:space="preserve"> SEQ Таблица \* ARABIC </w:instrText>
      </w:r>
      <w:r>
        <w:rPr>
          <w:sz w:val="24"/>
          <w:b/>
          <w:szCs w:val="24"/>
          <w:bCs/>
          <w:rFonts w:ascii="Arial Narrow" w:hAnsi="Arial Narrow"/>
        </w:rPr>
        <w:fldChar w:fldCharType="separate"/>
      </w:r>
      <w:r>
        <w:rPr>
          <w:sz w:val="24"/>
          <w:b/>
          <w:szCs w:val="24"/>
          <w:bCs/>
          <w:rFonts w:ascii="Arial Narrow" w:hAnsi="Arial Narrow"/>
        </w:rPr>
        <w:t>3</w:t>
      </w:r>
      <w:r>
        <w:rPr>
          <w:sz w:val="24"/>
          <w:b/>
          <w:szCs w:val="24"/>
          <w:bCs/>
          <w:rFonts w:ascii="Arial Narrow" w:hAnsi="Arial Narrow"/>
        </w:rPr>
        <w:fldChar w:fldCharType="end"/>
      </w:r>
      <w:r>
        <w:rPr>
          <w:rFonts w:ascii="Arial Narrow" w:hAnsi="Arial Narrow"/>
          <w:b/>
          <w:bCs/>
          <w:sz w:val="24"/>
          <w:szCs w:val="24"/>
        </w:rPr>
        <w:t>.</w:t>
      </w:r>
      <w:r>
        <w:rPr>
          <w:rFonts w:ascii="Arial Narrow" w:hAnsi="Arial Narrow"/>
          <w:b/>
          <w:bCs/>
          <w:sz w:val="20"/>
          <w:szCs w:val="24"/>
        </w:rPr>
        <w:t xml:space="preserve"> </w:t>
      </w:r>
      <w:r>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64"/>
      <w:bookmarkEnd w:id="165"/>
      <w:bookmarkEnd w:id="166"/>
    </w:p>
    <w:p>
      <w:pPr>
        <w:pStyle w:val="Normal"/>
        <w:widowControl/>
        <w:spacing w:before="0" w:after="0"/>
        <w:ind w:hanging="0"/>
        <w:jc w:val="left"/>
        <w:textAlignment w:val="auto"/>
        <w:rPr>
          <w:rFonts w:cs="Arial"/>
          <w:sz w:val="24"/>
          <w:szCs w:val="24"/>
        </w:rPr>
      </w:pPr>
      <w:r>
        <w:rPr>
          <w:rFonts w:cs="Arial"/>
          <w:sz w:val="24"/>
          <w:szCs w:val="24"/>
        </w:rPr>
      </w:r>
    </w:p>
    <w:tbl>
      <w:tblPr>
        <w:tblW w:w="20984" w:type="dxa"/>
        <w:jc w:val="left"/>
        <w:tblInd w:w="103" w:type="dxa"/>
        <w:tblLayout w:type="fixed"/>
        <w:tblCellMar>
          <w:top w:w="0" w:type="dxa"/>
          <w:left w:w="108" w:type="dxa"/>
          <w:bottom w:w="0" w:type="dxa"/>
          <w:right w:w="108" w:type="dxa"/>
        </w:tblCellMar>
        <w:tblLook w:firstRow="1" w:noVBand="1" w:lastRow="0" w:firstColumn="1" w:lastColumn="0" w:noHBand="0" w:val="04a0"/>
      </w:tblPr>
      <w:tblGrid>
        <w:gridCol w:w="2981"/>
        <w:gridCol w:w="2571"/>
        <w:gridCol w:w="2573"/>
        <w:gridCol w:w="2572"/>
        <w:gridCol w:w="2571"/>
        <w:gridCol w:w="2572"/>
        <w:gridCol w:w="2571"/>
        <w:gridCol w:w="2570"/>
      </w:tblGrid>
      <w:tr>
        <w:trPr>
          <w:tblHeader w:val="true"/>
          <w:trHeight w:val="525" w:hRule="atLeast"/>
        </w:trPr>
        <w:tc>
          <w:tcPr>
            <w:tcW w:w="298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Источник</w:t>
            </w:r>
          </w:p>
        </w:tc>
        <w:tc>
          <w:tcPr>
            <w:tcW w:w="5144"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Сценарий 1</w:t>
            </w:r>
          </w:p>
        </w:tc>
        <w:tc>
          <w:tcPr>
            <w:tcW w:w="5143"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Сценарий 2</w:t>
            </w:r>
          </w:p>
        </w:tc>
        <w:tc>
          <w:tcPr>
            <w:tcW w:w="5143"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Сценарий 3</w:t>
            </w:r>
          </w:p>
        </w:tc>
        <w:tc>
          <w:tcPr>
            <w:tcW w:w="257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Рекомендованный вариант</w:t>
            </w:r>
          </w:p>
        </w:tc>
      </w:tr>
      <w:tr>
        <w:trPr>
          <w:tblHeader w:val="true"/>
          <w:trHeight w:val="525" w:hRule="atLeast"/>
        </w:trPr>
        <w:tc>
          <w:tcPr>
            <w:tcW w:w="298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spacing w:val="0"/>
                <w:sz w:val="20"/>
                <w:szCs w:val="20"/>
                <w:lang w:eastAsia="ru-RU"/>
              </w:rPr>
            </w:pPr>
            <w:r>
              <w:rPr>
                <w:rFonts w:eastAsia="Times New Roman" w:cs="Arial"/>
                <w:b/>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1</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"ИТП"</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"ИТП"</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t>Подвариант "ИТП"</w:t>
            </w:r>
          </w:p>
        </w:tc>
        <w:tc>
          <w:tcPr>
            <w:tcW w:w="257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20"/>
                <w:szCs w:val="20"/>
                <w:lang w:eastAsia="ru-RU"/>
              </w:rPr>
            </w:pPr>
            <w:r>
              <w:rPr>
                <w:rFonts w:eastAsia="Times New Roman" w:cs="Arial"/>
                <w:b/>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129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26 Гкал/ч). Переключение потребителей котельной "Вишневского, 3а" и "Вишневского, 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26 Гкал/ч). Установка ГПА (5 МВт). Переключение потребителей котельной "Вишневского, 3а" и "Вишневского, 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03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Пер.Воскресенский,29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"Вилонова, 40"</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"Вилонова, 40"</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561"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Вилонова,40</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"Воскресенский, 29б"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(УЭМ 3 МВт). Переключение потребителей котельной "Воскресенский, 29б"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Реконструкция и модернизация котельной.</w:t>
            </w:r>
          </w:p>
        </w:tc>
      </w:tr>
      <w:tr>
        <w:trPr>
          <w:trHeight w:val="93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Тульская,78 «в»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r>
      <w:tr>
        <w:trPr>
          <w:trHeight w:val="989"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Чижевского,12 «а»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r>
      <w:tr>
        <w:trPr>
          <w:trHeight w:val="633"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 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Никитина,95б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 Установка ГПА (УЭМ 3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 Установка ГПА (УЭМ 3 МВт).</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Кирова,67а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"Чижевского, 12а"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17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Луначарского,6а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"Воскресенский, 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"Воскресенский, 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Театральная,4г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373"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347"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10 Гкал/ч). Переключение потребителей котельной "Луначарского, 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11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10 Гкал/ч). Установка ГПА (2 МВт). Переключение потребителей котельной "Луначарского, 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11 абонентов. Модернизация котельной.</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"Калуга-Бор, 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"Калуга-Бор, 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Вишневского,3а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3"</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 Вишневского,3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в резерв. Переключение на котельную "Вишневского,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в резерв. Переключение на котельную "Вишневского,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trPr>
          <w:trHeight w:val="171"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Калуга-Бор, 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 Гкал/ч). Переключение потребителей котельной "Калуга-Бор, 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37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 Гкал/ч). Установка ГПА (УЭМ 1 МВт). Переключение потребителей котельной "Калуга-Бор, 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Советская, 20в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trPr>
          <w:trHeight w:val="316"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ул.Пестеля, 32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Переключение потребителей котельной "Тульская, 78в"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r>
      <w:tr>
        <w:trPr>
          <w:trHeight w:val="447"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18 Гкал/ч). Переключение потребителей котельной "Московская, 115а"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26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18 Гкал/ч). Установка ГПА (УЭМ 3,5 МВт). Переключение потребителей котельной "Московская, 115а"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18 Гкал/ч). Установка ГПА (УЭМ 3,5 МВт). Переключение потребителей котельной "Московская, 115а"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ул.П.Свободы,131 «а»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8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8 Гкал/ч). Установка ГПА (УЭМ 1,5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"В. 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15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(УЭМ 3,5 МВт). Переключение потребителей котельной "В. 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17 Гкал/ч). Установка ГПА (УЭМ 3,5 МВт). Переключение потребителей котельной "В. Андриановой, 64а"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ул.Ф.Энгельса,13а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М.Горького,1б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22 Гкал/ч). Переключение потребителей котельной "Ф. Энгельса, 13а", «Болотникова,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48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 «Болотникова, 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 «Болотникова, 1»</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ул.Ленина,26а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шоссе,22б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ул.Баррикад,181а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 Гкал/ч в период до 2022-2023гг</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Новослободская, 25а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Малинники, 21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Малинники, 21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 Малинники, 21</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Тарутинская, 231а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Переключение потребителей котельных "Болотникова,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40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(УЭМ 4 МВт). Переключение потребителей котельных "Болотникова,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на СН (0,35 МВт). Реконструкция (УТМ 20 Гкал/ч). Переключение потребителей котельных "Болотникова, 29"</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35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(2020-2022 гг.) и на 5 Гкал/ч (2025-2027 гг.)</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50 Гкал/ч). Переключение потребителей котельной "Кубяка, 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50 Гкал/ч). Установка ГПА (УЭМ 10 МВт).Переключение потребителей котельной "Кубяка, 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50 Гкал/ч). Установка ГПА (УЭМ 10 МВт).Переключение потребителей котельной "Кубяка, 3а"</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ул.Московская,299в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"Московская, 317а"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"Московская, 317а"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ул.Московская,317а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8 Гкал/ч). Переключение потребителей котельной "Московская, 299в"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21 абонента.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8 Гкал/ч). Установка ГПА (УЭМ 1,5 МВт).  Переключение потребителей котельной "Московская, 299в"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Канищево,ул. Новая,41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26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Установка ИТП для 28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1,5 МВт + 2*1,5 МВт.</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1,5 МВт + 2*1,5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(УЭМ 1,5 МВт + 2*1,5 МВт 20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1,5 МВт + 2*1,5 МВт.</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231 абонента.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145 Гкал/ч). Переключение потребителей котельных "Кропоткина, 4а", "Театральная, 4г", "Московская, 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258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145 Гкал/ч). Установка ГПА (30 МВт). Переключение потребителей котельных "Кропоткина, 4а", "Театральная, 4г", "Московская, 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145 Гкал/ч). Установка ГПА (30 МВт). Переключение потребителей котельных "Кропоткина, 4а", "Театральная, 4г", "Московская, 31а"</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Маяковского, 59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b/>
                <w:bCs/>
                <w:spacing w:val="0"/>
                <w:sz w:val="20"/>
                <w:szCs w:val="20"/>
                <w:lang w:eastAsia="ru-RU"/>
              </w:rPr>
              <w:t>Прочие организации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color w:val="000000"/>
                <w:spacing w:val="0"/>
                <w:sz w:val="20"/>
                <w:szCs w:val="20"/>
                <w:lang w:eastAsia="ru-RU"/>
              </w:rPr>
              <w:t>Котельная по ул. Ленина, 23 (ОАО "Калужский завод путевых машин и гидроприводов")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20"/>
                <w:szCs w:val="20"/>
                <w:lang w:eastAsia="ru-RU"/>
              </w:rPr>
            </w:pPr>
            <w:r>
              <w:rPr>
                <w:rFonts w:eastAsia="Times New Roman" w:cs="Arial"/>
                <w:color w:val="000000"/>
                <w:spacing w:val="0"/>
                <w:sz w:val="20"/>
                <w:szCs w:val="20"/>
                <w:lang w:eastAsia="ru-RU"/>
              </w:rPr>
              <w:t xml:space="preserve">Котельная пер. Малинники, 21 </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Реконструкция котельной для переключения потребителей </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Строительство отдельно стоящей блочно-модульной котельной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Строительство отдельно стоящей блочно-модульной котельной</w:t>
            </w:r>
          </w:p>
        </w:tc>
      </w:tr>
      <w:tr>
        <w:trPr>
          <w:trHeight w:val="103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141 (АО «Азимут» быв. ОАО "КЗТА")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ОАО "КЭМЗ" на обслуживание от котельной.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68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ОАО "КЭМЗ" на обслуживание от котельной.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резервирующей перемычки с сетями котельной ОАО "КЭМЗ"</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Карла Маркса, д.4 (ОАО "КНИИТМУ")</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Пушкина, д.19 (ОАО "КНИИТМУ")</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Ромодановские дворики, 61 (НОУ СПО "Калужский кооперативный техникум")</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д. 174 ОАО "НПП "Калужский приборостроительный завод "Тайфун""")</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(переход на "закрытую" схему присоединения систем ГВС).</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31 (ФГУП "НТЦ "Базис"" ФСБ России)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154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д. 249 (ОАО "Калугаприбор")</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03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Тепличная, 22 (ОАО "Тепличный")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6 абонентов. Модернизация котельной.</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316"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121 (ОАО "Калужский электромеханический завод")</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Вывод из эксплуатации. Переключение на котельную </w:t>
            </w:r>
            <w:r>
              <w:rPr>
                <w:rFonts w:eastAsia="Times New Roman" w:cs="Arial"/>
                <w:color w:val="000000"/>
                <w:spacing w:val="0"/>
                <w:sz w:val="20"/>
                <w:szCs w:val="20"/>
                <w:lang w:eastAsia="ru-RU"/>
              </w:rPr>
              <w:t>АО «Азимут» быв. ОАО "КЗТА")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Вывод из эксплуатации. Переключение на котельную </w:t>
            </w:r>
            <w:r>
              <w:rPr>
                <w:rFonts w:eastAsia="Times New Roman" w:cs="Arial"/>
                <w:color w:val="000000"/>
                <w:spacing w:val="0"/>
                <w:sz w:val="20"/>
                <w:szCs w:val="20"/>
                <w:lang w:eastAsia="ru-RU"/>
              </w:rPr>
              <w:t>АО «Азимут» быв. ОАО "КЗТА")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Строительство резервирующей перемычки с сетями котельной </w:t>
            </w:r>
            <w:r>
              <w:rPr>
                <w:rFonts w:eastAsia="Times New Roman" w:cs="Arial"/>
                <w:color w:val="000000"/>
                <w:spacing w:val="0"/>
                <w:sz w:val="20"/>
                <w:szCs w:val="20"/>
                <w:lang w:eastAsia="ru-RU"/>
              </w:rPr>
              <w:t>АО «Азимут» быв. ОАО "КЗТА")</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302 (ОАО "Калужский завод ЖБИ")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29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Тарутинская, 171 "б" (ОАО "Калужская обувная фабрика "Калита"")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2-й Академический проезд, 13 (ОАО "Элмат")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1-й Академический проезд, 23 (ОАО "Элмат")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Гурьянова, 71 "а"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Больничная, 5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Белокирпичная, 20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АО «Калугапутьмаш» </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В.Андриановой 64а с увеличением УТМ на 1 Гкал/ч в период до 2022-2023гг для переключения потребителей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 xml:space="preserve">Строительство отдельно стоящей блочно-модульной котельной мощностью 2,5 Гкал/час, строительство тепловых сетей. </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b/>
                <w:i/>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ТЭЦ ООО "КТЗ"</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i/>
                <w:i/>
                <w:color w:val="000000"/>
                <w:spacing w:val="0"/>
                <w:sz w:val="20"/>
                <w:szCs w:val="20"/>
                <w:lang w:eastAsia="ru-RU"/>
              </w:rPr>
            </w:pPr>
            <w:r>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i/>
                <w:i/>
                <w:spacing w:val="0"/>
                <w:sz w:val="20"/>
                <w:szCs w:val="20"/>
                <w:lang w:eastAsia="ru-RU"/>
              </w:rPr>
            </w:pPr>
            <w:r>
              <w:rPr>
                <w:rFonts w:eastAsia="Times New Roman" w:cs="Arial"/>
                <w:b/>
                <w:i/>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color w:val="000000"/>
                <w:spacing w:val="0"/>
                <w:sz w:val="20"/>
                <w:szCs w:val="20"/>
                <w:lang w:eastAsia="ru-RU"/>
              </w:rPr>
            </w:pPr>
            <w:r>
              <w:rPr>
                <w:rFonts w:eastAsia="Times New Roman" w:cs="Arial"/>
                <w:spacing w:val="0"/>
                <w:sz w:val="20"/>
                <w:szCs w:val="20"/>
                <w:lang w:eastAsia="ru-RU"/>
              </w:rPr>
              <w:t>Котельная микрорайонов "Спортивный, Научный, Пучково") (НК-1)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color w:val="000000"/>
                <w:spacing w:val="0"/>
                <w:sz w:val="20"/>
                <w:szCs w:val="20"/>
                <w:lang w:eastAsia="ru-RU"/>
              </w:rPr>
            </w:pPr>
            <w:r>
              <w:rPr>
                <w:rFonts w:eastAsia="Times New Roman" w:cs="Arial"/>
                <w:spacing w:val="0"/>
                <w:sz w:val="20"/>
                <w:szCs w:val="20"/>
                <w:lang w:eastAsia="ru-RU"/>
              </w:rPr>
              <w:t>Котельная микрорайона "Ольговский" (НК-2)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в микрорайоне "Тепличный"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15 Гкал/ч к 2018 г. Переключение потребителей котельных "Дорожная, 6а", "Тепличная, 22", "Новая, 41", "Нижняя Усадебная, 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38 абонентов.</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в районе Грабцевского шоссе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 31". "Ленина, 23", "Грабцевское ш., 22б" и "Маяковского, 35"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22 абонентов.</w:t>
            </w:r>
          </w:p>
        </w:tc>
        <w:tc>
          <w:tcPr>
            <w:tcW w:w="25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Установка ГПА (8,5 МВт). Переключение потребителей котельных "Грабцевское ш., 31". "Ленина, 23", "Грабцевское ш., 22б" и "Маяковского, 35"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 31". "Ленина, 23", "Грабцевское ш., 22б" и "Маяковского, 35"</w:t>
            </w:r>
          </w:p>
        </w:tc>
      </w:tr>
    </w:tbl>
    <w:p>
      <w:pPr>
        <w:sectPr>
          <w:headerReference w:type="default" r:id="rId82"/>
          <w:headerReference w:type="first" r:id="rId83"/>
          <w:footerReference w:type="default" r:id="rId84"/>
          <w:footerReference w:type="first" r:id="rId85"/>
          <w:type w:val="nextPage"/>
          <w:pgSz w:orient="landscape" w:w="23811" w:h="16838"/>
          <w:pgMar w:left="1701" w:right="1134" w:gutter="0" w:header="510" w:top="1134" w:footer="301" w:bottom="1134"/>
          <w:pgNumType w:fmt="decimal"/>
          <w:formProt w:val="false"/>
          <w:textDirection w:val="lrTb"/>
          <w:docGrid w:type="default" w:linePitch="360" w:charSpace="0"/>
        </w:sectPr>
      </w:pPr>
    </w:p>
    <w:p>
      <w:pPr>
        <w:pStyle w:val="Heading1"/>
        <w:numPr>
          <w:ilvl w:val="0"/>
          <w:numId w:val="0"/>
        </w:numPr>
        <w:pBdr>
          <w:top w:val="single" w:sz="48" w:space="3" w:color="FFFFFF"/>
          <w:left w:val="single" w:sz="6" w:space="3" w:color="FFFFFF"/>
          <w:bottom w:val="single" w:sz="6" w:space="0" w:color="FFFFFF"/>
        </w:pBdr>
        <w:ind w:hanging="0" w:left="0"/>
        <w:jc w:val="center"/>
        <w:rPr>
          <w:color w:themeColor="text1" w:val="000000"/>
        </w:rPr>
      </w:pPr>
      <w:bookmarkStart w:id="167" w:name="_Toc132981687"/>
      <w:bookmarkEnd w:id="129"/>
      <w:r>
        <w:rPr>
          <w:color w:themeColor="text1" w:val="000000"/>
        </w:rPr>
        <w:t>Раздел 5.  Предложения по строительству, реконструкции и техническому перевооружению источников тепловой энергии</w:t>
      </w:r>
      <w:bookmarkEnd w:id="167"/>
    </w:p>
    <w:p>
      <w:pPr>
        <w:pStyle w:val="Heading2"/>
        <w:numPr>
          <w:ilvl w:val="1"/>
          <w:numId w:val="27"/>
        </w:numPr>
        <w:ind w:hanging="0" w:left="0"/>
        <w:jc w:val="center"/>
        <w:rPr/>
      </w:pPr>
      <w:r>
        <w:rPr/>
        <w:t xml:space="preserve"> </w:t>
      </w:r>
      <w:bookmarkStart w:id="168" w:name="_Toc132981688"/>
      <w:r>
        <w:rPr/>
        <w:t>Общие положения</w:t>
      </w:r>
      <w:bookmarkEnd w:id="168"/>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eastAsia="Times New Roman"/>
          <w:kern w:val="2"/>
          <w:sz w:val="24"/>
          <w:szCs w:val="24"/>
          <w:lang w:eastAsia="ru-RU"/>
        </w:rPr>
      </w:pPr>
      <w:r>
        <w:rPr>
          <w:rFonts w:eastAsia="Times New Roman"/>
          <w:kern w:val="2"/>
          <w:sz w:val="24"/>
          <w:szCs w:val="24"/>
          <w:lang w:eastAsia="ru-RU"/>
        </w:rPr>
        <w:t xml:space="preserve">Предложения по развитию системы теплоснабжения в части источников тепловой энергии приведены в </w:t>
      </w:r>
      <w:r>
        <w:rPr>
          <w:rFonts w:cs="Arial"/>
          <w:sz w:val="24"/>
          <w:szCs w:val="24"/>
        </w:rPr>
        <w:t xml:space="preserve">Главе 7 «Предложения по строительству, реконструкции и техническому перевооружению источников тепловой энергии» Обосновывающих материалов к схеме теплоснабжения муниципального образования «Город Калуга» до 2028 г. (шифр 29401.ОМ-ПСТ.007.000). </w:t>
      </w:r>
    </w:p>
    <w:p>
      <w:pPr>
        <w:pStyle w:val="Normal"/>
        <w:spacing w:lineRule="auto" w:line="360" w:before="0" w:after="0"/>
        <w:rPr>
          <w:rFonts w:cs="Arial"/>
          <w:sz w:val="24"/>
          <w:szCs w:val="24"/>
        </w:rPr>
      </w:pPr>
      <w:r>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Калуги в соответствии с Главой 5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 2028 года (шифр 29401.ОМ-ПСТ.005.000).</w:t>
      </w:r>
    </w:p>
    <w:p>
      <w:pPr>
        <w:pStyle w:val="Normal"/>
        <w:widowControl/>
        <w:spacing w:lineRule="auto" w:line="360" w:before="0" w:after="0"/>
        <w:ind w:firstLine="566" w:left="1"/>
        <w:textAlignment w:val="auto"/>
        <w:rPr>
          <w:sz w:val="24"/>
          <w:szCs w:val="24"/>
        </w:rPr>
      </w:pPr>
      <w:r>
        <w:rPr>
          <w:sz w:val="24"/>
          <w:szCs w:val="24"/>
        </w:rPr>
        <w:t>Данные предложения систематизированы в пять групп по виду предлагаемых работ:</w:t>
      </w:r>
    </w:p>
    <w:p>
      <w:pPr>
        <w:pStyle w:val="Normal"/>
        <w:widowControl/>
        <w:numPr>
          <w:ilvl w:val="0"/>
          <w:numId w:val="8"/>
        </w:numPr>
        <w:spacing w:lineRule="auto" w:line="360" w:before="0" w:after="0"/>
        <w:textAlignment w:val="auto"/>
        <w:rPr>
          <w:sz w:val="24"/>
          <w:szCs w:val="24"/>
        </w:rPr>
      </w:pPr>
      <w:r>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pPr>
        <w:pStyle w:val="Normal"/>
        <w:widowControl/>
        <w:numPr>
          <w:ilvl w:val="0"/>
          <w:numId w:val="8"/>
        </w:numPr>
        <w:spacing w:lineRule="auto" w:line="360" w:before="0" w:after="0"/>
        <w:textAlignment w:val="auto"/>
        <w:rPr>
          <w:sz w:val="24"/>
          <w:szCs w:val="24"/>
        </w:rPr>
      </w:pPr>
      <w:r>
        <w:rPr>
          <w:sz w:val="24"/>
          <w:szCs w:val="24"/>
        </w:rPr>
        <w:t>Группа 2. Установка ГПА;</w:t>
      </w:r>
    </w:p>
    <w:p>
      <w:pPr>
        <w:pStyle w:val="Normal"/>
        <w:widowControl/>
        <w:numPr>
          <w:ilvl w:val="0"/>
          <w:numId w:val="8"/>
        </w:numPr>
        <w:spacing w:lineRule="auto" w:line="360" w:before="0" w:after="0"/>
        <w:textAlignment w:val="auto"/>
        <w:rPr>
          <w:sz w:val="24"/>
          <w:szCs w:val="24"/>
        </w:rPr>
      </w:pPr>
      <w:r>
        <w:rPr>
          <w:sz w:val="24"/>
          <w:szCs w:val="24"/>
        </w:rPr>
        <w:t>Группа 3. Модернизация и реконструкция теплоисточников;</w:t>
      </w:r>
    </w:p>
    <w:p>
      <w:pPr>
        <w:pStyle w:val="Normal"/>
        <w:widowControl/>
        <w:numPr>
          <w:ilvl w:val="0"/>
          <w:numId w:val="8"/>
        </w:numPr>
        <w:spacing w:lineRule="auto" w:line="360" w:before="0" w:after="0"/>
        <w:textAlignment w:val="auto"/>
        <w:rPr>
          <w:sz w:val="24"/>
          <w:szCs w:val="24"/>
        </w:rPr>
      </w:pPr>
      <w:r>
        <w:rPr>
          <w:sz w:val="24"/>
          <w:szCs w:val="24"/>
        </w:rPr>
        <w:t>Группа 4. Переоборудование котельной в ЦТП при выводе теплоисточника из эксплуатации;</w:t>
      </w:r>
    </w:p>
    <w:p>
      <w:pPr>
        <w:pStyle w:val="Normal"/>
        <w:widowControl/>
        <w:numPr>
          <w:ilvl w:val="0"/>
          <w:numId w:val="8"/>
        </w:numPr>
        <w:spacing w:lineRule="auto" w:line="360" w:before="0" w:after="0"/>
        <w:textAlignment w:val="auto"/>
        <w:rPr>
          <w:sz w:val="24"/>
          <w:szCs w:val="24"/>
        </w:rPr>
      </w:pPr>
      <w:r>
        <w:rPr>
          <w:sz w:val="24"/>
          <w:szCs w:val="24"/>
        </w:rPr>
        <w:t>Группа 5. Строительство новых источников тепловой энергии (мощности).</w:t>
      </w:r>
    </w:p>
    <w:p>
      <w:pPr>
        <w:pStyle w:val="Normal"/>
        <w:widowControl/>
        <w:spacing w:lineRule="auto" w:line="360" w:before="0" w:after="0"/>
        <w:ind w:hanging="0" w:left="927"/>
        <w:textAlignment w:val="auto"/>
        <w:rPr>
          <w:sz w:val="24"/>
          <w:szCs w:val="24"/>
        </w:rPr>
      </w:pPr>
      <w:r>
        <w:rPr>
          <w:sz w:val="24"/>
          <w:szCs w:val="24"/>
        </w:rPr>
      </w:r>
    </w:p>
    <w:p>
      <w:pPr>
        <w:sectPr>
          <w:headerReference w:type="default" r:id="rId86"/>
          <w:headerReference w:type="first" r:id="rId87"/>
          <w:footerReference w:type="default" r:id="rId88"/>
          <w:footerReference w:type="first" r:id="rId89"/>
          <w:type w:val="nextPage"/>
          <w:pgSz w:w="11906" w:h="16838"/>
          <w:pgMar w:left="1701" w:right="1134" w:gutter="0" w:header="720" w:top="851" w:footer="720" w:bottom="1134"/>
          <w:pgNumType w:fmt="decimal"/>
          <w:formProt w:val="false"/>
          <w:textDirection w:val="lrTb"/>
          <w:docGrid w:type="default" w:linePitch="100" w:charSpace="0"/>
        </w:sectPr>
        <w:pStyle w:val="Normal"/>
        <w:spacing w:lineRule="auto" w:line="360" w:before="0" w:after="0"/>
        <w:rPr>
          <w:rFonts w:cs="Arial"/>
          <w:sz w:val="24"/>
          <w:szCs w:val="24"/>
        </w:rPr>
      </w:pPr>
      <w:r>
        <w:rPr>
          <w:rFonts w:cs="Arial"/>
          <w:sz w:val="24"/>
          <w:szCs w:val="24"/>
        </w:rPr>
        <w:t>Затраты на реализацию в приведенных ниже таблицах приведены в ценах 2013 года с учетом НДС.</w:t>
      </w:r>
    </w:p>
    <w:p>
      <w:pPr>
        <w:pStyle w:val="Heading2"/>
        <w:numPr>
          <w:ilvl w:val="1"/>
          <w:numId w:val="27"/>
        </w:numPr>
        <w:ind w:hanging="0" w:left="0"/>
        <w:jc w:val="center"/>
        <w:rPr/>
      </w:pPr>
      <w:r>
        <w:rPr/>
        <w:t xml:space="preserve"> </w:t>
      </w:r>
      <w:bookmarkStart w:id="169" w:name="_Toc132981689"/>
      <w:r>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bookmarkEnd w:id="169"/>
    </w:p>
    <w:p>
      <w:pPr>
        <w:pStyle w:val="Normal"/>
        <w:rPr/>
      </w:pPr>
      <w:r>
        <w:rPr/>
      </w:r>
    </w:p>
    <w:p>
      <w:pPr>
        <w:pStyle w:val="Caption"/>
        <w:rPr/>
      </w:pPr>
      <w:bookmarkStart w:id="170" w:name="_Toc132971374"/>
      <w:r>
        <w:rPr/>
        <w:t>Таблица 5.</w:t>
      </w:r>
      <w:r>
        <w:rPr/>
        <w:fldChar w:fldCharType="begin"/>
      </w:r>
      <w:r>
        <w:rPr/>
        <w:instrText xml:space="preserve"> SEQ Таблица \* ARABIC </w:instrText>
      </w:r>
      <w:r>
        <w:rPr/>
        <w:fldChar w:fldCharType="separate"/>
      </w:r>
      <w:r>
        <w:rPr/>
        <w:t>1</w:t>
      </w:r>
      <w:r>
        <w:rPr/>
        <w:fldChar w:fldCharType="end"/>
      </w:r>
      <w:r>
        <w:rPr/>
        <w:t>.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bookmarkEnd w:id="170"/>
    </w:p>
    <w:tbl>
      <w:tblPr>
        <w:tblW w:w="8979" w:type="dxa"/>
        <w:jc w:val="left"/>
        <w:tblInd w:w="93" w:type="dxa"/>
        <w:tblLayout w:type="fixed"/>
        <w:tblCellMar>
          <w:top w:w="0" w:type="dxa"/>
          <w:left w:w="103" w:type="dxa"/>
          <w:bottom w:w="0" w:type="dxa"/>
          <w:right w:w="108" w:type="dxa"/>
        </w:tblCellMar>
        <w:tblLook w:firstRow="1" w:noVBand="1" w:lastRow="0" w:firstColumn="1" w:lastColumn="0" w:noHBand="0" w:val="04a0"/>
      </w:tblPr>
      <w:tblGrid>
        <w:gridCol w:w="2199"/>
        <w:gridCol w:w="3386"/>
        <w:gridCol w:w="1414"/>
        <w:gridCol w:w="1979"/>
      </w:tblGrid>
      <w:tr>
        <w:trPr>
          <w:tblHeader w:val="true"/>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b/>
                <w:bCs/>
                <w:color w:val="000000"/>
                <w:lang w:eastAsia="ru-RU"/>
              </w:rPr>
            </w:pPr>
            <w:r>
              <w:rPr>
                <w:rFonts w:eastAsia="Times New Roman" w:cs="Calibri" w:ascii="Calibri" w:hAnsi="Calibri"/>
                <w:b/>
                <w:bCs/>
                <w:color w:val="000000"/>
                <w:lang w:eastAsia="ru-RU"/>
              </w:rPr>
              <w:t>Источник</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b/>
                <w:bCs/>
                <w:color w:val="000000"/>
                <w:lang w:eastAsia="ru-RU"/>
              </w:rPr>
            </w:pPr>
            <w:r>
              <w:rPr>
                <w:rFonts w:eastAsia="Times New Roman" w:cs="Calibri" w:ascii="Calibri" w:hAnsi="Calibri"/>
                <w:b/>
                <w:bCs/>
                <w:color w:val="000000"/>
                <w:lang w:eastAsia="ru-RU"/>
              </w:rPr>
              <w:t>Описание мероприятия</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b/>
                <w:bCs/>
                <w:color w:val="000000"/>
                <w:lang w:eastAsia="ru-RU"/>
              </w:rPr>
            </w:pPr>
            <w:r>
              <w:rPr>
                <w:rFonts w:eastAsia="Times New Roman" w:cs="Calibri" w:ascii="Calibri" w:hAnsi="Calibri"/>
                <w:b/>
                <w:bCs/>
                <w:color w:val="000000"/>
                <w:lang w:eastAsia="ru-RU"/>
              </w:rPr>
              <w:t>Суммарные затраты, тыс. руб.</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b/>
                <w:bCs/>
                <w:color w:val="000000"/>
                <w:lang w:eastAsia="ru-RU"/>
              </w:rPr>
            </w:pPr>
            <w:r>
              <w:rPr>
                <w:rFonts w:eastAsia="Times New Roman" w:cs="Calibri" w:ascii="Calibri" w:hAnsi="Calibri"/>
                <w:b/>
                <w:bCs/>
                <w:color w:val="000000"/>
                <w:lang w:eastAsia="ru-RU"/>
              </w:rPr>
              <w:t>Период реализации мероприятия</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ул.Вишневского,3</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20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10 000,00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ул. Пестеля, 32 б</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20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10 500,00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Пролетарская, 125</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18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10 500,00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ул.В.Андриановой,5а</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17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10 500,00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М.Горького,1б</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22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2 500,00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Хрустальная, 18а</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20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15 000,00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ул.Кибальчича,17а</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50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31 500,00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Пер. Малиники,38</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60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21 000,00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1275"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микрорайонов "Спортивный, Научный, Пучково") (НИ-1)</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75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67 500,00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2022-2028</w:t>
            </w:r>
          </w:p>
        </w:tc>
      </w:tr>
      <w:tr>
        <w:trPr>
          <w:trHeight w:val="102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микрорайона "Ольговский" (НИ-2)</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Реконструкция котельной с увеличением установленной тепловой мощности до 70 Гкал/ч. </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 xml:space="preserve">60 000,00   </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2022-2028</w:t>
            </w:r>
          </w:p>
        </w:tc>
      </w:tr>
      <w:tr>
        <w:trPr>
          <w:trHeight w:val="102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ind w:hanging="0"/>
              <w:rPr>
                <w:rFonts w:eastAsia="Times New Roman" w:cs="Arial"/>
                <w:sz w:val="20"/>
                <w:szCs w:val="20"/>
                <w:lang w:eastAsia="ru-RU"/>
              </w:rPr>
            </w:pPr>
            <w:r>
              <w:rPr>
                <w:rFonts w:eastAsia="Times New Roman" w:cs="Arial"/>
                <w:sz w:val="20"/>
                <w:szCs w:val="20"/>
                <w:lang w:eastAsia="ru-RU"/>
              </w:rPr>
              <w:t>Театральная, 4г</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rPr>
                <w:rFonts w:eastAsia="Times New Roman" w:cs="Arial"/>
                <w:sz w:val="20"/>
                <w:szCs w:val="20"/>
                <w:lang w:eastAsia="ru-RU"/>
              </w:rPr>
            </w:pPr>
            <w:r>
              <w:rPr>
                <w:rFonts w:eastAsia="Times New Roman" w:cs="Arial"/>
                <w:sz w:val="20"/>
                <w:szCs w:val="20"/>
                <w:lang w:eastAsia="ru-RU"/>
              </w:rPr>
              <w:t>Реконструкция котельной с морально устаревшим и отслужившим срок эксплуатации котлами и с запрещенной автоматикой ПМА по ул. Театральная, 4 г с увеличением установленной мощности до 4,8 Гкал/час, с переключением потребителей тепла от насосной по ул. Кирова, 32 (с целью дальнейшей ликвидации насосной)</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jc w:val="center"/>
              <w:rPr>
                <w:rFonts w:eastAsia="Times New Roman" w:cs="Arial"/>
                <w:sz w:val="20"/>
                <w:szCs w:val="20"/>
                <w:lang w:eastAsia="ru-RU"/>
              </w:rPr>
            </w:pPr>
            <w:r>
              <w:rPr>
                <w:rFonts w:eastAsia="Times New Roman" w:cs="Arial"/>
                <w:sz w:val="20"/>
                <w:szCs w:val="20"/>
                <w:lang w:eastAsia="ru-RU"/>
              </w:rPr>
            </w:r>
          </w:p>
          <w:p>
            <w:pPr>
              <w:pStyle w:val="Normal"/>
              <w:spacing w:before="120" w:after="0"/>
              <w:ind w:hanging="0"/>
              <w:jc w:val="center"/>
              <w:rPr>
                <w:rFonts w:eastAsia="Times New Roman" w:cs="Arial"/>
                <w:sz w:val="20"/>
                <w:szCs w:val="20"/>
                <w:lang w:eastAsia="ru-RU"/>
              </w:rPr>
            </w:pPr>
            <w:r>
              <w:rPr>
                <w:rFonts w:eastAsia="Times New Roman" w:cs="Arial"/>
                <w:sz w:val="20"/>
                <w:szCs w:val="20"/>
                <w:lang w:eastAsia="ru-RU"/>
              </w:rPr>
              <w:t>66 431,00</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jc w:val="center"/>
              <w:rPr>
                <w:rFonts w:eastAsia="Times New Roman" w:cs="Arial"/>
                <w:sz w:val="20"/>
                <w:szCs w:val="20"/>
                <w:lang w:eastAsia="ru-RU"/>
              </w:rPr>
            </w:pPr>
            <w:r>
              <w:rPr>
                <w:rFonts w:eastAsia="Times New Roman" w:cs="Arial"/>
                <w:sz w:val="20"/>
                <w:szCs w:val="20"/>
                <w:lang w:eastAsia="ru-RU"/>
              </w:rPr>
            </w:r>
          </w:p>
          <w:p>
            <w:pPr>
              <w:pStyle w:val="Normal"/>
              <w:spacing w:before="120" w:after="0"/>
              <w:ind w:hanging="0"/>
              <w:jc w:val="center"/>
              <w:rPr>
                <w:rFonts w:eastAsia="Times New Roman" w:cs="Arial"/>
                <w:sz w:val="20"/>
                <w:szCs w:val="20"/>
                <w:lang w:eastAsia="ru-RU"/>
              </w:rPr>
            </w:pPr>
            <w:r>
              <w:rPr>
                <w:rFonts w:eastAsia="Times New Roman" w:cs="Arial"/>
                <w:sz w:val="20"/>
                <w:szCs w:val="20"/>
                <w:lang w:eastAsia="ru-RU"/>
              </w:rPr>
              <w:t>2021-2024</w:t>
            </w:r>
          </w:p>
        </w:tc>
      </w:tr>
      <w:tr>
        <w:trPr>
          <w:trHeight w:val="102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ind w:hanging="0"/>
              <w:rPr>
                <w:rFonts w:eastAsia="Times New Roman" w:cs="Arial"/>
                <w:sz w:val="20"/>
                <w:szCs w:val="20"/>
                <w:lang w:eastAsia="ru-RU"/>
              </w:rPr>
            </w:pPr>
            <w:r>
              <w:rPr>
                <w:rFonts w:eastAsia="Times New Roman" w:cs="Arial"/>
                <w:sz w:val="20"/>
                <w:szCs w:val="20"/>
                <w:lang w:eastAsia="ru-RU"/>
              </w:rPr>
              <w:t>Кропоткина, 4а</w:t>
            </w:r>
          </w:p>
        </w:tc>
        <w:tc>
          <w:tcPr>
            <w:tcW w:w="3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rPr>
                <w:rFonts w:eastAsia="Times New Roman" w:cs="Arial"/>
                <w:sz w:val="20"/>
                <w:szCs w:val="20"/>
                <w:lang w:eastAsia="ru-RU"/>
              </w:rPr>
            </w:pPr>
            <w:r>
              <w:rPr>
                <w:rFonts w:eastAsia="Times New Roman" w:cs="Arial"/>
                <w:sz w:val="20"/>
                <w:szCs w:val="20"/>
                <w:lang w:eastAsia="ru-RU"/>
              </w:rPr>
              <w:t>Реконструкция котельной по ул. Кропоткина, 4 а, с увеличением установленной мощности до 3,0 Гкал/час для возможности подключения «Выставочного центра Эрмитажа, по адресу: г. Калуга,  ул. К. Маркса, д. 6», «Дома гражданского губернатора, расположенного по адресу: г. Калуга, ул. Баженова, д. 1» и т. д.</w:t>
            </w:r>
          </w:p>
        </w:tc>
        <w:tc>
          <w:tcPr>
            <w:tcW w:w="1414"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ind w:hanging="0"/>
              <w:jc w:val="center"/>
              <w:rPr>
                <w:rFonts w:eastAsia="Times New Roman" w:cs="Arial"/>
                <w:sz w:val="20"/>
                <w:szCs w:val="20"/>
                <w:lang w:eastAsia="ru-RU"/>
              </w:rPr>
            </w:pPr>
            <w:r>
              <w:rPr>
                <w:rFonts w:eastAsia="Times New Roman" w:cs="Arial"/>
                <w:sz w:val="20"/>
                <w:szCs w:val="20"/>
                <w:lang w:eastAsia="ru-RU"/>
              </w:rPr>
              <w:t>75 560,20</w:t>
            </w:r>
          </w:p>
        </w:tc>
        <w:tc>
          <w:tcPr>
            <w:tcW w:w="197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spacing w:before="120" w:after="0"/>
              <w:ind w:hanging="0"/>
              <w:jc w:val="center"/>
              <w:rPr>
                <w:rFonts w:eastAsia="Times New Roman" w:cs="Arial"/>
                <w:sz w:val="20"/>
                <w:szCs w:val="20"/>
                <w:lang w:eastAsia="ru-RU"/>
              </w:rPr>
            </w:pPr>
            <w:r>
              <w:rPr>
                <w:rFonts w:eastAsia="Times New Roman" w:cs="Arial"/>
                <w:sz w:val="20"/>
                <w:szCs w:val="20"/>
                <w:lang w:eastAsia="ru-RU"/>
              </w:rPr>
              <w:t>2021-2024</w:t>
            </w:r>
          </w:p>
        </w:tc>
      </w:tr>
      <w:tr>
        <w:trPr>
          <w:trHeight w:val="1020" w:hRule="atLeast"/>
        </w:trPr>
        <w:tc>
          <w:tcPr>
            <w:tcW w:w="2199" w:type="dxa"/>
            <w:tcBorders>
              <w:top w:val="single" w:sz="4" w:space="0" w:color="00000A"/>
              <w:left w:val="single" w:sz="4" w:space="0" w:color="00000A"/>
              <w:bottom w:val="single" w:sz="4" w:space="0" w:color="00000A"/>
              <w:right w:val="single" w:sz="4" w:space="0" w:color="00000A"/>
            </w:tcBorders>
            <w:shd w:color="auto" w:fill="auto" w:val="clear"/>
          </w:tcPr>
          <w:p>
            <w:pPr>
              <w:pStyle w:val="Normal"/>
              <w:spacing w:before="120" w:after="0"/>
              <w:ind w:hanging="0"/>
              <w:jc w:val="left"/>
              <w:rPr>
                <w:rFonts w:ascii="Times New Roman" w:hAnsi="Times New Roman"/>
              </w:rPr>
            </w:pPr>
            <w:r>
              <w:rPr>
                <w:rFonts w:ascii="Times New Roman" w:hAnsi="Times New Roman"/>
              </w:rPr>
              <w:t>пр-д 1-й Академический, д.29</w:t>
            </w:r>
          </w:p>
        </w:tc>
        <w:tc>
          <w:tcPr>
            <w:tcW w:w="3386" w:type="dxa"/>
            <w:tcBorders>
              <w:top w:val="single" w:sz="4" w:space="0" w:color="00000A"/>
              <w:left w:val="single" w:sz="4" w:space="0" w:color="00000A"/>
              <w:bottom w:val="single" w:sz="4" w:space="0" w:color="00000A"/>
              <w:right w:val="single" w:sz="4" w:space="0" w:color="00000A"/>
            </w:tcBorders>
            <w:shd w:color="auto" w:fill="auto" w:val="clear"/>
          </w:tcPr>
          <w:p>
            <w:pPr>
              <w:pStyle w:val="Normal"/>
              <w:spacing w:before="120" w:after="0"/>
              <w:rPr>
                <w:rFonts w:ascii="Times New Roman" w:hAnsi="Times New Roman"/>
              </w:rPr>
            </w:pPr>
            <w:r>
              <w:rPr>
                <w:rFonts w:ascii="Times New Roman" w:hAnsi="Times New Roman"/>
              </w:rPr>
              <w:t xml:space="preserve">«Техническое перевооружение котельной МУП «Калугатеплосеть» г.Калуги с установкой двух котлов </w:t>
            </w:r>
          </w:p>
          <w:p>
            <w:pPr>
              <w:pStyle w:val="Normal"/>
              <w:spacing w:before="120" w:after="0"/>
              <w:rPr/>
            </w:pPr>
            <w:r>
              <w:rPr>
                <w:rFonts w:ascii="Times New Roman" w:hAnsi="Times New Roman"/>
              </w:rPr>
              <w:t>КВ-ГМ-23, 26-150, расположенной по адресу: г. Калуга, пр. 1-й Академический, д. 29»</w:t>
            </w:r>
          </w:p>
        </w:tc>
        <w:tc>
          <w:tcPr>
            <w:tcW w:w="1414" w:type="dxa"/>
            <w:tcBorders>
              <w:top w:val="single" w:sz="4" w:space="0" w:color="00000A"/>
              <w:left w:val="single" w:sz="4" w:space="0" w:color="00000A"/>
              <w:bottom w:val="single" w:sz="4" w:space="0" w:color="00000A"/>
              <w:right w:val="single" w:sz="4" w:space="0" w:color="00000A"/>
            </w:tcBorders>
            <w:shd w:color="auto" w:fill="auto" w:val="clear"/>
          </w:tcPr>
          <w:p>
            <w:pPr>
              <w:pStyle w:val="Normal"/>
              <w:spacing w:before="120" w:after="0"/>
              <w:ind w:hanging="0"/>
              <w:rPr>
                <w:rFonts w:ascii="Times New Roman" w:hAnsi="Times New Roman"/>
              </w:rPr>
            </w:pPr>
            <w:r>
              <w:rPr>
                <w:rFonts w:ascii="Times New Roman" w:hAnsi="Times New Roman"/>
              </w:rPr>
              <w:t>3 080,00</w:t>
            </w:r>
          </w:p>
        </w:tc>
        <w:tc>
          <w:tcPr>
            <w:tcW w:w="1979" w:type="dxa"/>
            <w:tcBorders>
              <w:top w:val="single" w:sz="4" w:space="0" w:color="00000A"/>
              <w:left w:val="single" w:sz="4" w:space="0" w:color="00000A"/>
              <w:bottom w:val="single" w:sz="4" w:space="0" w:color="00000A"/>
              <w:right w:val="single" w:sz="4" w:space="0" w:color="00000A"/>
            </w:tcBorders>
            <w:shd w:color="auto" w:fill="auto" w:val="clear"/>
          </w:tcPr>
          <w:p>
            <w:pPr>
              <w:pStyle w:val="Normal"/>
              <w:spacing w:before="120" w:after="0"/>
              <w:ind w:hanging="0"/>
              <w:jc w:val="center"/>
              <w:rPr>
                <w:rFonts w:ascii="Times New Roman" w:hAnsi="Times New Roman"/>
              </w:rPr>
            </w:pPr>
            <w:r>
              <w:rPr>
                <w:rFonts w:ascii="Times New Roman" w:hAnsi="Times New Roman"/>
              </w:rPr>
              <w:t>2023-2024</w:t>
            </w:r>
          </w:p>
        </w:tc>
      </w:tr>
    </w:tbl>
    <w:p>
      <w:pPr>
        <w:pStyle w:val="Normal"/>
        <w:spacing w:lineRule="auto" w:line="360"/>
        <w:ind w:hanging="0"/>
        <w:rPr>
          <w:b/>
          <w:bCs/>
          <w:sz w:val="18"/>
          <w:szCs w:val="18"/>
        </w:rPr>
      </w:pPr>
      <w:r>
        <w:rPr>
          <w:b/>
          <w:bCs/>
          <w:sz w:val="18"/>
          <w:szCs w:val="18"/>
        </w:rPr>
      </w:r>
    </w:p>
    <w:p>
      <w:pPr>
        <w:pStyle w:val="Normal"/>
        <w:widowControl/>
        <w:spacing w:before="0" w:after="0"/>
        <w:ind w:hanging="0"/>
        <w:jc w:val="left"/>
        <w:textAlignment w:val="auto"/>
        <w:rPr/>
      </w:pPr>
      <w:r>
        <w:rPr/>
        <w:t xml:space="preserve"> </w:t>
      </w:r>
      <w:r>
        <w:rPr/>
        <w:t>Предложения по установке ГПА</w:t>
      </w:r>
    </w:p>
    <w:p>
      <w:pPr>
        <w:pStyle w:val="Caption"/>
        <w:rPr/>
      </w:pPr>
      <w:bookmarkStart w:id="171" w:name="_Toc132971375"/>
      <w:r>
        <w:rPr/>
        <w:t>Таблица 5.</w:t>
      </w:r>
      <w:r>
        <w:rPr/>
        <w:fldChar w:fldCharType="begin"/>
      </w:r>
      <w:r>
        <w:rPr/>
        <w:instrText xml:space="preserve"> SEQ Таблица \* ARABIC </w:instrText>
      </w:r>
      <w:r>
        <w:rPr/>
        <w:fldChar w:fldCharType="separate"/>
      </w:r>
      <w:r>
        <w:rPr/>
        <w:t>2</w:t>
      </w:r>
      <w:r>
        <w:rPr/>
        <w:fldChar w:fldCharType="end"/>
      </w:r>
      <w:r>
        <w:rPr/>
        <w:t>.  Предложения по установке ГПА</w:t>
      </w:r>
      <w:bookmarkEnd w:id="171"/>
    </w:p>
    <w:tbl>
      <w:tblPr>
        <w:tblW w:w="9006" w:type="dxa"/>
        <w:jc w:val="left"/>
        <w:tblInd w:w="93" w:type="dxa"/>
        <w:tblLayout w:type="fixed"/>
        <w:tblCellMar>
          <w:top w:w="0" w:type="dxa"/>
          <w:left w:w="23" w:type="dxa"/>
          <w:bottom w:w="0" w:type="dxa"/>
          <w:right w:w="28" w:type="dxa"/>
        </w:tblCellMar>
        <w:tblLook w:firstRow="1" w:noVBand="1" w:lastRow="0" w:firstColumn="1" w:lastColumn="0" w:noHBand="0" w:val="04a0"/>
      </w:tblPr>
      <w:tblGrid>
        <w:gridCol w:w="2200"/>
        <w:gridCol w:w="3719"/>
        <w:gridCol w:w="1386"/>
        <w:gridCol w:w="1700"/>
      </w:tblGrid>
      <w:tr>
        <w:trPr>
          <w:tblHeader w:val="true"/>
          <w:trHeight w:val="9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b/>
                <w:bCs/>
                <w:color w:val="000000"/>
                <w:lang w:eastAsia="ru-RU"/>
              </w:rPr>
            </w:pPr>
            <w:r>
              <w:rPr>
                <w:rFonts w:eastAsia="Times New Roman" w:cs="Arial"/>
                <w:b/>
                <w:bCs/>
                <w:color w:val="000000"/>
                <w:lang w:eastAsia="ru-RU"/>
              </w:rPr>
              <w:t>Источник</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b/>
                <w:bCs/>
                <w:color w:val="000000"/>
                <w:lang w:eastAsia="ru-RU"/>
              </w:rPr>
            </w:pPr>
            <w:r>
              <w:rPr>
                <w:rFonts w:eastAsia="Times New Roman" w:cs="Arial"/>
                <w:b/>
                <w:bCs/>
                <w:color w:val="000000"/>
                <w:lang w:eastAsia="ru-RU"/>
              </w:rPr>
              <w:t>Описание мероприятия</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b/>
                <w:bCs/>
                <w:color w:val="000000"/>
                <w:lang w:eastAsia="ru-RU"/>
              </w:rPr>
            </w:pPr>
            <w:r>
              <w:rPr>
                <w:rFonts w:eastAsia="Times New Roman" w:cs="Arial"/>
                <w:b/>
                <w:bCs/>
                <w:color w:val="000000"/>
                <w:lang w:eastAsia="ru-RU"/>
              </w:rPr>
              <w:t>Суммарные затраты, тыс. руб.</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b/>
                <w:bCs/>
                <w:color w:val="000000"/>
                <w:lang w:eastAsia="ru-RU"/>
              </w:rPr>
            </w:pPr>
            <w:r>
              <w:rPr>
                <w:rFonts w:eastAsia="Times New Roman" w:cs="Arial"/>
                <w:b/>
                <w:bCs/>
                <w:color w:val="000000"/>
                <w:lang w:eastAsia="ru-RU"/>
              </w:rPr>
              <w:t>Период реализации мероприятия</w:t>
            </w:r>
          </w:p>
        </w:tc>
      </w:tr>
      <w:tr>
        <w:trPr>
          <w:trHeight w:val="1425"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Котельная микрорайонов "Спортивный, Научный, Пучково") (НИ-1)*</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75 Гкал/ч. Установка ГПА (УЭМ 15 МВт).</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2018-2022</w:t>
            </w:r>
          </w:p>
        </w:tc>
      </w:tr>
      <w:tr>
        <w:trPr>
          <w:trHeight w:val="114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Котельная микрорайона "Ольговский" (НИ-2)*</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70 Гкал/ч. Установка ГПА (УЭМ 15 МВт).</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2018-2022</w:t>
            </w:r>
          </w:p>
        </w:tc>
      </w:tr>
      <w:tr>
        <w:trPr>
          <w:trHeight w:val="1995"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Котельная Дорожная,21</w:t>
            </w:r>
          </w:p>
          <w:p>
            <w:pPr>
              <w:pStyle w:val="Normal"/>
              <w:widowControl/>
              <w:spacing w:before="0" w:after="0"/>
              <w:ind w:hanging="0"/>
              <w:jc w:val="center"/>
              <w:textAlignment w:val="auto"/>
              <w:rPr>
                <w:rFonts w:eastAsia="Times New Roman" w:cs="Arial"/>
                <w:lang w:eastAsia="ru-RU"/>
              </w:rPr>
            </w:pPr>
            <w:r>
              <w:rPr>
                <w:rFonts w:eastAsia="Times New Roman" w:cs="Arial"/>
                <w:lang w:eastAsia="ru-RU"/>
              </w:rPr>
              <w:t xml:space="preserve"> </w:t>
            </w:r>
            <w:r>
              <w:rPr>
                <w:rFonts w:eastAsia="Times New Roman" w:cs="Arial"/>
                <w:lang w:eastAsia="ru-RU"/>
              </w:rPr>
              <w:t>(НИ-3)*</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 xml:space="preserve">Строительство котельной УТМ </w:t>
            </w:r>
          </w:p>
          <w:p>
            <w:pPr>
              <w:pStyle w:val="Normal"/>
              <w:widowControl/>
              <w:spacing w:before="0" w:after="0"/>
              <w:ind w:hanging="0"/>
              <w:jc w:val="center"/>
              <w:textAlignment w:val="auto"/>
              <w:rPr>
                <w:rFonts w:eastAsia="Times New Roman" w:cs="Arial"/>
                <w:lang w:eastAsia="ru-RU"/>
              </w:rPr>
            </w:pPr>
            <w:r>
              <w:rPr>
                <w:rFonts w:eastAsia="Times New Roman" w:cs="Arial"/>
                <w:lang w:eastAsia="ru-RU"/>
              </w:rPr>
              <w:t xml:space="preserve">4,3 Гкал/ч </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 xml:space="preserve">43 000,00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2015</w:t>
            </w:r>
          </w:p>
        </w:tc>
      </w:tr>
      <w:tr>
        <w:trPr>
          <w:trHeight w:val="171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Котельная в районе Грабцевского шоссе д.35 (НИ-4)</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23 Гкал/ч к 2018 г. Переключение потребителей котельных "Грабцевское ш., 31". "Ленина, 23", "Грабцевское ш., 22б" и "Маяковского, 35"</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 xml:space="preserve">175 000,00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2015-2016</w:t>
            </w:r>
          </w:p>
        </w:tc>
      </w:tr>
      <w:tr>
        <w:trPr>
          <w:trHeight w:val="114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ул.Баррикад,181а</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Строительство новой БМК на территории выводимой из эксплуатации котельной по адресу ул.Баррикад,181а</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eastAsia="ru-RU"/>
              </w:rPr>
            </w:pPr>
            <w:r>
              <w:rPr>
                <w:rFonts w:eastAsia="Times New Roman" w:cs="Arial"/>
                <w:color w:val="000000"/>
                <w:lang w:eastAsia="ru-RU"/>
              </w:rPr>
              <w:t xml:space="preserve">2 000,00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color w:val="000000"/>
                <w:lang w:val="en-US" w:eastAsia="ru-RU"/>
              </w:rPr>
            </w:pPr>
            <w:r>
              <w:rPr>
                <w:rFonts w:eastAsia="Times New Roman" w:cs="Arial"/>
                <w:color w:val="000000"/>
                <w:lang w:eastAsia="ru-RU"/>
              </w:rPr>
              <w:t>2014-2017</w:t>
            </w:r>
          </w:p>
          <w:p>
            <w:pPr>
              <w:pStyle w:val="Normal"/>
              <w:widowControl/>
              <w:spacing w:before="0" w:after="0"/>
              <w:ind w:hanging="0"/>
              <w:jc w:val="center"/>
              <w:textAlignment w:val="auto"/>
              <w:rPr>
                <w:rFonts w:eastAsia="Times New Roman" w:cs="Arial"/>
                <w:color w:val="000000"/>
                <w:lang w:val="en-US" w:eastAsia="ru-RU"/>
              </w:rPr>
            </w:pPr>
            <w:r>
              <w:rPr>
                <w:rFonts w:eastAsia="Times New Roman" w:cs="Arial"/>
                <w:color w:val="000000"/>
                <w:lang w:val="en-US" w:eastAsia="ru-RU"/>
              </w:rPr>
            </w:r>
          </w:p>
        </w:tc>
      </w:tr>
      <w:tr>
        <w:trPr>
          <w:trHeight w:val="1140" w:hRule="atLeast"/>
        </w:trPr>
        <w:tc>
          <w:tcPr>
            <w:tcW w:w="2200" w:type="dxa"/>
            <w:tcBorders>
              <w:top w:val="single" w:sz="4" w:space="0" w:color="00000A"/>
              <w:left w:val="single" w:sz="4" w:space="0" w:color="00000A"/>
              <w:bottom w:val="single" w:sz="4" w:space="0" w:color="000000"/>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 xml:space="preserve">Микрорайон Тайфун, </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Строительство новой котельной по ул. Платова,40</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rFonts w:eastAsia="Times New Roman" w:cs="Arial"/>
                <w:lang w:eastAsia="ru-RU"/>
              </w:rPr>
              <w:t>104 551,00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2021-2022</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В районе                      ул. Московская, 248</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spacing w:before="0" w:after="0"/>
              <w:ind w:hanging="0"/>
              <w:jc w:val="center"/>
              <w:textAlignment w:val="auto"/>
              <w:rPr/>
            </w:pPr>
            <w:r>
              <w:rPr/>
              <w:t>Строительство котельной  для переключения потребителей с выводимой из эксплуатации котельной ОАО «Калужский завод «Трансмаш»</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12000,00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2020-2021</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В районе кампуса</w:t>
            </w:r>
          </w:p>
          <w:p>
            <w:pPr>
              <w:pStyle w:val="Normal"/>
              <w:widowControl/>
              <w:spacing w:before="0" w:after="0"/>
              <w:ind w:hanging="0"/>
              <w:jc w:val="center"/>
              <w:textAlignment w:val="auto"/>
              <w:rPr/>
            </w:pPr>
            <w:r>
              <w:rPr/>
              <w:t>МГТУ им.                Н.Э. Баумана</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Строительство котельной</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184700,00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pPr>
            <w:r>
              <w:rPr/>
              <w:t>2020-2021</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spacing w:before="0" w:after="0"/>
              <w:ind w:hanging="0"/>
              <w:jc w:val="center"/>
              <w:textAlignment w:val="auto"/>
              <w:rPr>
                <w:rFonts w:eastAsia="Times New Roman" w:cs="Arial"/>
                <w:lang w:eastAsia="ru-RU"/>
              </w:rPr>
            </w:pPr>
            <w:r>
              <w:rPr>
                <w:rFonts w:eastAsia="Times New Roman" w:cs="Arial"/>
                <w:lang w:eastAsia="ru-RU"/>
              </w:rPr>
              <w:t>Итого</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spacing w:before="0" w:after="0"/>
              <w:ind w:hanging="0"/>
              <w:jc w:val="left"/>
              <w:textAlignment w:val="auto"/>
              <w:rPr>
                <w:rFonts w:eastAsia="Times New Roman" w:cs="Arial"/>
                <w:color w:val="000000"/>
                <w:lang w:eastAsia="ru-RU"/>
              </w:rPr>
            </w:pPr>
            <w:r>
              <w:rPr>
                <w:rFonts w:eastAsia="Times New Roman" w:cs="Arial"/>
                <w:color w:val="000000"/>
                <w:lang w:eastAsia="ru-RU"/>
              </w:rPr>
              <w:t> </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spacing w:before="0" w:after="0"/>
              <w:ind w:hanging="0"/>
              <w:jc w:val="left"/>
              <w:textAlignment w:val="auto"/>
              <w:rPr/>
            </w:pPr>
            <w:r>
              <w:rPr>
                <w:rFonts w:eastAsia="Times New Roman" w:cs="Arial"/>
                <w:color w:val="000000"/>
                <w:lang w:eastAsia="ru-RU"/>
              </w:rPr>
              <w:t xml:space="preserve"> </w:t>
            </w:r>
            <w:r>
              <w:rPr>
                <w:rFonts w:eastAsia="Times New Roman" w:cs="Arial"/>
                <w:color w:val="000000"/>
                <w:lang w:val="en-US" w:eastAsia="ru-RU"/>
              </w:rPr>
              <w:t>1122100.00</w:t>
            </w:r>
            <w:r>
              <w:rPr>
                <w:rFonts w:eastAsia="Times New Roman" w:cs="Arial"/>
                <w:color w:val="000000"/>
                <w:lang w:eastAsia="ru-RU"/>
              </w:rPr>
              <w:t xml:space="preserve"> </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spacing w:before="0" w:after="0"/>
              <w:ind w:hanging="0"/>
              <w:jc w:val="left"/>
              <w:textAlignment w:val="auto"/>
              <w:rPr>
                <w:rFonts w:eastAsia="Times New Roman" w:cs="Arial"/>
                <w:color w:val="000000"/>
                <w:lang w:eastAsia="ru-RU"/>
              </w:rPr>
            </w:pPr>
            <w:r>
              <w:rPr>
                <w:rFonts w:eastAsia="Times New Roman" w:cs="Arial"/>
                <w:color w:val="000000"/>
                <w:lang w:eastAsia="ru-RU"/>
              </w:rPr>
              <w:t> </w:t>
            </w:r>
          </w:p>
        </w:tc>
      </w:tr>
    </w:tbl>
    <w:p>
      <w:pPr>
        <w:pStyle w:val="Normal"/>
        <w:spacing w:lineRule="auto" w:line="360"/>
        <w:ind w:hanging="0"/>
        <w:rPr>
          <w:b/>
          <w:bCs/>
          <w:sz w:val="18"/>
          <w:szCs w:val="18"/>
        </w:rPr>
      </w:pPr>
      <w:r>
        <w:rPr>
          <w:b/>
          <w:bCs/>
          <w:sz w:val="18"/>
          <w:szCs w:val="18"/>
        </w:rPr>
      </w:r>
    </w:p>
    <w:p>
      <w:pPr>
        <w:pStyle w:val="Heading2"/>
        <w:numPr>
          <w:ilvl w:val="1"/>
          <w:numId w:val="27"/>
        </w:numPr>
        <w:ind w:hanging="0" w:left="0"/>
        <w:jc w:val="center"/>
        <w:rPr/>
      </w:pPr>
      <w:r>
        <w:rPr/>
        <w:t xml:space="preserve"> </w:t>
      </w:r>
      <w:bookmarkStart w:id="172" w:name="_Toc132981690"/>
      <w:r>
        <w:rPr/>
        <w:t>Предложения по модернизации и реконструкции теплоисточников</w:t>
      </w:r>
      <w:bookmarkEnd w:id="172"/>
    </w:p>
    <w:p>
      <w:pPr>
        <w:pStyle w:val="Normal"/>
        <w:spacing w:lineRule="auto" w:line="360"/>
        <w:ind w:hanging="0"/>
        <w:rPr>
          <w:b/>
          <w:bCs/>
          <w:sz w:val="18"/>
          <w:szCs w:val="18"/>
        </w:rPr>
      </w:pPr>
      <w:r>
        <w:rPr>
          <w:b/>
          <w:bCs/>
          <w:sz w:val="18"/>
          <w:szCs w:val="18"/>
        </w:rPr>
      </w:r>
    </w:p>
    <w:p>
      <w:pPr>
        <w:pStyle w:val="Caption"/>
        <w:rPr/>
      </w:pPr>
      <w:bookmarkStart w:id="173" w:name="_Toc132971376"/>
      <w:r>
        <w:rPr/>
        <w:t>Таблица 5.</w:t>
      </w:r>
      <w:r>
        <w:rPr/>
        <w:fldChar w:fldCharType="begin"/>
      </w:r>
      <w:r>
        <w:rPr/>
        <w:instrText xml:space="preserve"> SEQ Таблица \* ARABIC </w:instrText>
      </w:r>
      <w:r>
        <w:rPr/>
        <w:fldChar w:fldCharType="separate"/>
      </w:r>
      <w:r>
        <w:rPr/>
        <w:t>3</w:t>
      </w:r>
      <w:r>
        <w:rPr/>
        <w:fldChar w:fldCharType="end"/>
      </w:r>
      <w:r>
        <w:rPr/>
        <w:t>. Предложения по модернизации и реконструкции теплоисточников</w:t>
      </w:r>
      <w:bookmarkEnd w:id="173"/>
    </w:p>
    <w:tbl>
      <w:tblPr>
        <w:tblW w:w="9055" w:type="dxa"/>
        <w:jc w:val="left"/>
        <w:tblInd w:w="93" w:type="dxa"/>
        <w:tblLayout w:type="fixed"/>
        <w:tblCellMar>
          <w:top w:w="0" w:type="dxa"/>
          <w:left w:w="108" w:type="dxa"/>
          <w:bottom w:w="0" w:type="dxa"/>
          <w:right w:w="108" w:type="dxa"/>
        </w:tblCellMar>
        <w:tblLook w:firstRow="1" w:noVBand="1" w:lastRow="0" w:firstColumn="1" w:lastColumn="0" w:noHBand="0" w:val="04a0"/>
      </w:tblPr>
      <w:tblGrid>
        <w:gridCol w:w="2282"/>
        <w:gridCol w:w="3806"/>
        <w:gridCol w:w="1414"/>
        <w:gridCol w:w="1552"/>
      </w:tblGrid>
      <w:tr>
        <w:trPr>
          <w:tblHeader w:val="true"/>
          <w:trHeight w:val="545" w:hRule="atLeast"/>
          <w:cantSplit w:val="true"/>
        </w:trPr>
        <w:tc>
          <w:tcPr>
            <w:tcW w:w="22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Источник</w:t>
            </w:r>
          </w:p>
        </w:tc>
        <w:tc>
          <w:tcPr>
            <w:tcW w:w="3806"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1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155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909"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 xml:space="preserve">ул.Грабцевское шоссе, 174 ОАО «НПП "Калужский приборостроительный завод «Тайфун») </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104551</w:t>
            </w:r>
          </w:p>
        </w:tc>
        <w:tc>
          <w:tcPr>
            <w:tcW w:w="15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2022-2028</w:t>
            </w:r>
          </w:p>
        </w:tc>
      </w:tr>
      <w:tr>
        <w:trPr>
          <w:trHeight w:val="727"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ул. Советская, 20в        </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10500</w:t>
            </w:r>
          </w:p>
        </w:tc>
        <w:tc>
          <w:tcPr>
            <w:tcW w:w="15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2022-2028</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Кубяка, 3а</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приобретение 1-го котла жаротрубного</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11591</w:t>
            </w:r>
          </w:p>
        </w:tc>
        <w:tc>
          <w:tcPr>
            <w:tcW w:w="15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 6б</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42411</w:t>
            </w:r>
          </w:p>
        </w:tc>
        <w:tc>
          <w:tcPr>
            <w:tcW w:w="15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39209</w:t>
            </w:r>
          </w:p>
        </w:tc>
        <w:tc>
          <w:tcPr>
            <w:tcW w:w="1552" w:type="dxa"/>
            <w:tcBorders>
              <w:bottom w:val="single" w:sz="4" w:space="0" w:color="000000"/>
              <w:right w:val="single" w:sz="4" w:space="0" w:color="000000"/>
            </w:tcBorders>
            <w:shd w:color="auto" w:fill="auto" w:val="clear"/>
            <w:vAlign w:val="cente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68477</w:t>
            </w:r>
          </w:p>
        </w:tc>
        <w:tc>
          <w:tcPr>
            <w:tcW w:w="1552" w:type="dxa"/>
            <w:tcBorders>
              <w:bottom w:val="single" w:sz="4" w:space="0" w:color="000000"/>
              <w:right w:val="single" w:sz="4" w:space="0" w:color="000000"/>
            </w:tcBorders>
            <w:shd w:color="auto" w:fill="auto" w:val="clear"/>
            <w:vAlign w:val="cente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71074</w:t>
            </w:r>
          </w:p>
        </w:tc>
        <w:tc>
          <w:tcPr>
            <w:tcW w:w="1552" w:type="dxa"/>
            <w:tcBorders>
              <w:bottom w:val="single" w:sz="4" w:space="0" w:color="000000"/>
              <w:right w:val="single" w:sz="4" w:space="0" w:color="000000"/>
            </w:tcBorders>
            <w:shd w:color="auto" w:fill="auto" w:val="clear"/>
            <w:vAlign w:val="cente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p>
        </w:tc>
        <w:tc>
          <w:tcPr>
            <w:tcW w:w="380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47295</w:t>
            </w:r>
          </w:p>
        </w:tc>
        <w:tc>
          <w:tcPr>
            <w:tcW w:w="1552" w:type="dxa"/>
            <w:tcBorders>
              <w:bottom w:val="single" w:sz="4" w:space="0" w:color="000000"/>
              <w:right w:val="single" w:sz="4" w:space="0" w:color="000000"/>
            </w:tcBorders>
            <w:shd w:color="auto" w:fill="auto" w:val="clear"/>
            <w:vAlign w:val="cente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ул.Дзержинского, 83</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17461</w:t>
            </w:r>
          </w:p>
        </w:tc>
        <w:tc>
          <w:tcPr>
            <w:tcW w:w="1552" w:type="dxa"/>
            <w:tcBorders>
              <w:bottom w:val="single" w:sz="4" w:space="0" w:color="000000"/>
              <w:right w:val="single" w:sz="4" w:space="0" w:color="000000"/>
            </w:tcBorders>
            <w:shd w:color="auto" w:fill="auto" w:val="clear"/>
            <w:vAlign w:val="cente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22300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2б</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41800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Кубяка, 3а</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65869</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40948</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ул.Ленина, 26</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56157</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87920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30250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Калуга Бор, 3</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40469</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299</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22031</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62320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ул.Дзержинского, 83</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58939</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53380</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32б</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82567</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r>
        <w:trPr>
          <w:trHeight w:val="363" w:hRule="atLeast"/>
          <w:cantSplit w:val="true"/>
        </w:trPr>
        <w:tc>
          <w:tcPr>
            <w:tcW w:w="228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3806" w:type="dxa"/>
            <w:tcBorders>
              <w:bottom w:val="single" w:sz="4" w:space="0" w:color="000000"/>
              <w:right w:val="single" w:sz="4" w:space="0" w:color="000000"/>
            </w:tcBorders>
            <w:shd w:color="auto" w:fill="auto" w:val="clear"/>
          </w:tcPr>
          <w:p>
            <w:pPr>
              <w:pStyle w:val="Normal"/>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2" w:type="dxa"/>
            <w:tcBorders>
              <w:bottom w:val="single" w:sz="4" w:space="0" w:color="000000"/>
              <w:right w:val="single" w:sz="4" w:space="0" w:color="000000"/>
            </w:tcBorders>
            <w:shd w:color="auto" w:fill="auto" w:val="clear"/>
          </w:tcPr>
          <w:p>
            <w:pPr>
              <w:pStyle w:val="Normal"/>
              <w:spacing w:before="120" w:after="120"/>
              <w:ind w:hanging="0"/>
              <w:rPr/>
            </w:pPr>
            <w:r>
              <w:rPr>
                <w:rFonts w:eastAsia="Times New Roman" w:cs="Arial"/>
                <w:spacing w:val="0"/>
                <w:sz w:val="20"/>
                <w:lang w:eastAsia="ru-RU"/>
              </w:rPr>
              <w:t>2022 - 2024</w:t>
            </w:r>
          </w:p>
        </w:tc>
      </w:tr>
    </w:tbl>
    <w:p>
      <w:pPr>
        <w:pStyle w:val="Normal"/>
        <w:widowControl/>
        <w:spacing w:before="0" w:after="0"/>
        <w:ind w:hanging="0"/>
        <w:jc w:val="left"/>
        <w:textAlignment w:val="auto"/>
        <w:rPr/>
      </w:pPr>
      <w:r>
        <w:br w:type="page"/>
      </w:r>
      <w:r>
        <w:rPr/>
        <w:t xml:space="preserve"> </w:t>
      </w:r>
      <w:r>
        <w:rPr/>
        <w:t>Предложения по переоборудованию котельной в ЦТП при выводе теплоисточника из эксплуатации</w:t>
      </w:r>
    </w:p>
    <w:p>
      <w:pPr>
        <w:pStyle w:val="Normal"/>
        <w:spacing w:lineRule="auto" w:line="360"/>
        <w:ind w:hanging="0"/>
        <w:rPr>
          <w:b/>
          <w:bCs/>
          <w:sz w:val="18"/>
          <w:szCs w:val="18"/>
        </w:rPr>
      </w:pPr>
      <w:r>
        <w:rPr>
          <w:b/>
          <w:bCs/>
          <w:sz w:val="18"/>
          <w:szCs w:val="18"/>
        </w:rPr>
      </w:r>
    </w:p>
    <w:p>
      <w:pPr>
        <w:pStyle w:val="Caption"/>
        <w:rPr/>
      </w:pPr>
      <w:bookmarkStart w:id="174" w:name="_Toc132971377"/>
      <w:r>
        <w:rPr/>
        <w:t>Таблица 5.</w:t>
      </w:r>
      <w:r>
        <w:rPr/>
        <w:fldChar w:fldCharType="begin"/>
      </w:r>
      <w:r>
        <w:rPr/>
        <w:instrText xml:space="preserve"> SEQ Таблица \* ARABIC </w:instrText>
      </w:r>
      <w:r>
        <w:rPr/>
        <w:fldChar w:fldCharType="separate"/>
      </w:r>
      <w:r>
        <w:rPr/>
        <w:t>4</w:t>
      </w:r>
      <w:r>
        <w:rPr/>
        <w:fldChar w:fldCharType="end"/>
      </w:r>
      <w:r>
        <w:rPr/>
        <w:t>. Предложения по переоборудованию котельной в ЦТП при выводе теплоисточника из эксплуатации</w:t>
      </w:r>
      <w:bookmarkEnd w:id="174"/>
    </w:p>
    <w:tbl>
      <w:tblPr>
        <w:tblW w:w="9080" w:type="dxa"/>
        <w:jc w:val="left"/>
        <w:tblInd w:w="93" w:type="dxa"/>
        <w:tblLayout w:type="fixed"/>
        <w:tblCellMar>
          <w:top w:w="0" w:type="dxa"/>
          <w:left w:w="28" w:type="dxa"/>
          <w:bottom w:w="0" w:type="dxa"/>
          <w:right w:w="28" w:type="dxa"/>
        </w:tblCellMar>
        <w:tblLook w:firstRow="1" w:noVBand="1" w:lastRow="0" w:firstColumn="1" w:lastColumn="0" w:noHBand="0" w:val="04a0"/>
      </w:tblPr>
      <w:tblGrid>
        <w:gridCol w:w="2710"/>
        <w:gridCol w:w="2937"/>
        <w:gridCol w:w="1432"/>
        <w:gridCol w:w="2000"/>
      </w:tblGrid>
      <w:tr>
        <w:trPr>
          <w:tblHeader w:val="true"/>
          <w:trHeight w:val="472" w:hRule="atLeast"/>
          <w:cantSplit w:val="true"/>
        </w:trPr>
        <w:tc>
          <w:tcPr>
            <w:tcW w:w="27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Источник</w:t>
            </w:r>
          </w:p>
        </w:tc>
        <w:tc>
          <w:tcPr>
            <w:tcW w:w="293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3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200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«Пестеля, 32б»</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3500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ул.Чижевского, 12а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«Кирова, 67а»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3800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3а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«Вишневского, 1»</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в резерв. Переключение на котельную «Вишневского, 1»</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6200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пер.Аэропортовский, 1а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«Инфекционная больница»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«М. Горького, 1б»</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115а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22б</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«Хрустальная, 18а»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«В.Андриановой, 5а»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35</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50а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«Хрустальная, 18а»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2600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«Кибальчича, 17а»</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 Переключение потребителя котельной «Азаровский завод стеновых материалов»</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126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 2</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5600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ул.Ленина, 23 (ОАО «Калужский завод путевых машин и гидроприводов»)</w:t>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4700</w:t>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29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143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200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r>
    </w:tbl>
    <w:p>
      <w:pPr>
        <w:pStyle w:val="Normal"/>
        <w:ind w:hanging="0"/>
        <w:rPr/>
      </w:pPr>
      <w:r>
        <w:rPr/>
      </w:r>
      <w:r>
        <w:br w:type="page"/>
      </w:r>
    </w:p>
    <w:p>
      <w:pPr>
        <w:pStyle w:val="Normal"/>
        <w:spacing w:lineRule="auto" w:line="360" w:before="0" w:after="120"/>
        <w:rPr>
          <w:rFonts w:cs="Arial"/>
          <w:sz w:val="24"/>
          <w:szCs w:val="24"/>
        </w:rPr>
      </w:pPr>
      <w:r>
        <w:rPr>
          <w:rFonts w:cs="Arial"/>
          <w:sz w:val="24"/>
          <w:szCs w:val="24"/>
        </w:rPr>
        <w:t>Перечень насосных станций МУП «Калугатеплосеть», подлежащих реконструкции приведен в таблице 5.5. с указанием стоимости в ценах базового года.</w:t>
      </w:r>
    </w:p>
    <w:p>
      <w:pPr>
        <w:pStyle w:val="Normal"/>
        <w:spacing w:lineRule="auto" w:line="360"/>
        <w:rPr>
          <w:rFonts w:ascii="Arial Narrow" w:hAnsi="Arial Narrow" w:eastAsia="Times New Roman"/>
          <w:b/>
          <w:bCs/>
          <w:color w:val="000000"/>
          <w:sz w:val="20"/>
        </w:rPr>
      </w:pPr>
      <w:r>
        <w:rPr>
          <w:rFonts w:eastAsia="Times New Roman" w:ascii="Arial Narrow" w:hAnsi="Arial Narrow"/>
          <w:b/>
          <w:bCs/>
          <w:color w:val="000000"/>
          <w:sz w:val="20"/>
        </w:rPr>
        <w:t>Таблица 5.5–Реконструкция насосных станций (Устройство ЦТП)</w:t>
      </w:r>
    </w:p>
    <w:tbl>
      <w:tblPr>
        <w:tblW w:w="932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74"/>
        <w:gridCol w:w="2015"/>
        <w:gridCol w:w="3231"/>
        <w:gridCol w:w="1843"/>
        <w:gridCol w:w="1559"/>
      </w:tblGrid>
      <w:tr>
        <w:trPr/>
        <w:tc>
          <w:tcPr>
            <w:tcW w:w="67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 </w:t>
            </w:r>
            <w:r>
              <w:rPr>
                <w:rFonts w:eastAsia="Calibri" w:ascii="Times New Roman" w:hAnsi="Times New Roman"/>
                <w:spacing w:val="0"/>
                <w:lang w:eastAsia="ru-RU"/>
              </w:rPr>
              <w:t>п/п</w:t>
            </w:r>
          </w:p>
        </w:tc>
        <w:tc>
          <w:tcPr>
            <w:tcW w:w="201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Источника</w:t>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Описание мероприятия</w:t>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Суммарные затраты, тыс. руб.</w:t>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Период реализации</w:t>
            </w:r>
          </w:p>
        </w:tc>
      </w:tr>
      <w:tr>
        <w:trPr>
          <w:trHeight w:val="1904" w:hRule="atLeast"/>
        </w:trPr>
        <w:tc>
          <w:tcPr>
            <w:tcW w:w="67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1</w:t>
            </w:r>
          </w:p>
        </w:tc>
        <w:tc>
          <w:tcPr>
            <w:tcW w:w="201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t>ул. Грабцевское шоссе, 35 "в" (насосная)</w:t>
              <w:tab/>
              <w:tab/>
              <w:tab/>
              <w:tab/>
              <w:tab/>
              <w:tab/>
              <w:tab/>
              <w:tab/>
              <w:tab/>
            </w:r>
          </w:p>
          <w:p>
            <w:pPr>
              <w:pStyle w:val="Normal"/>
              <w:widowControl/>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Обеспечение бесперебойной подачи тепловой энергии. Снижение уровня износа инфраструктуры теплосилового хозяйства. </w:t>
              <w:tab/>
              <w:tab/>
              <w:tab/>
              <w:tab/>
              <w:tab/>
              <w:tab/>
              <w:tab/>
              <w:tab/>
              <w:tab/>
              <w:tab/>
              <w:tab/>
              <w:tab/>
              <w:tab/>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40 592,00</w:t>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2023-2024</w:t>
            </w:r>
          </w:p>
        </w:tc>
      </w:tr>
      <w:tr>
        <w:trPr/>
        <w:tc>
          <w:tcPr>
            <w:tcW w:w="67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w:t>
            </w:r>
          </w:p>
        </w:tc>
        <w:tc>
          <w:tcPr>
            <w:tcW w:w="201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ул. Моложежная, </w:t>
              <w:br/>
              <w:t>5 "а"                (насосная)</w:t>
              <w:tab/>
              <w:tab/>
              <w:tab/>
              <w:tab/>
              <w:tab/>
              <w:tab/>
              <w:tab/>
              <w:tab/>
              <w:tab/>
            </w:r>
          </w:p>
          <w:p>
            <w:pPr>
              <w:pStyle w:val="Normal"/>
              <w:widowControl/>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Обеспечение бесперебойной подачи тепловой энергии. Снижение уровня износа инфраструктуры теплосилового хозяйства. Развитие системы теплоснабжения, уменьшение удельного расхода условного топлива на выработку тепловой энергии, повышение КПД котлов, снижение ФОТ</w:t>
              <w:tab/>
              <w:tab/>
              <w:tab/>
              <w:tab/>
              <w:tab/>
              <w:tab/>
              <w:tab/>
              <w:tab/>
              <w:tab/>
              <w:tab/>
              <w:tab/>
              <w:tab/>
              <w:tab/>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25 501   </w:t>
              <w:tab/>
              <w:tab/>
              <w:tab/>
              <w:tab/>
              <w:tab/>
              <w:tab/>
              <w:tab/>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2023-2024</w:t>
            </w:r>
          </w:p>
        </w:tc>
      </w:tr>
    </w:tbl>
    <w:p>
      <w:pPr>
        <w:pStyle w:val="Normal"/>
        <w:spacing w:lineRule="auto" w:line="360"/>
        <w:rPr>
          <w:rFonts w:cs="Arial"/>
          <w:sz w:val="24"/>
          <w:szCs w:val="24"/>
        </w:rPr>
      </w:pPr>
      <w:r>
        <w:rPr>
          <w:rFonts w:cs="Arial"/>
          <w:sz w:val="24"/>
          <w:szCs w:val="24"/>
        </w:rPr>
      </w:r>
    </w:p>
    <w:p>
      <w:pPr>
        <w:pStyle w:val="Heading2"/>
        <w:numPr>
          <w:ilvl w:val="1"/>
          <w:numId w:val="27"/>
        </w:numPr>
        <w:ind w:hanging="0" w:left="0"/>
        <w:jc w:val="center"/>
        <w:rPr/>
      </w:pPr>
      <w:bookmarkStart w:id="175" w:name="_Toc132981691"/>
      <w:r>
        <w:rPr/>
        <w:t>Предложения по строительству новых источников тепловой энергии (мощности)</w:t>
      </w:r>
      <w:bookmarkEnd w:id="175"/>
    </w:p>
    <w:p>
      <w:pPr>
        <w:pStyle w:val="Normal"/>
        <w:spacing w:lineRule="auto" w:line="360"/>
        <w:ind w:hanging="0"/>
        <w:rPr>
          <w:b/>
          <w:bCs/>
          <w:sz w:val="18"/>
          <w:szCs w:val="18"/>
        </w:rPr>
      </w:pPr>
      <w:r>
        <w:rPr>
          <w:b/>
          <w:bCs/>
          <w:sz w:val="18"/>
          <w:szCs w:val="18"/>
        </w:rPr>
      </w:r>
    </w:p>
    <w:p>
      <w:pPr>
        <w:pStyle w:val="Caption"/>
        <w:rPr/>
      </w:pPr>
      <w:r>
        <w:rPr/>
        <w:t>Таблица 5.6.  Предложения по реконструкции оборудования энергоисточников</w:t>
      </w:r>
    </w:p>
    <w:tbl>
      <w:tblPr>
        <w:tblW w:w="9059" w:type="dxa"/>
        <w:jc w:val="left"/>
        <w:tblInd w:w="93" w:type="dxa"/>
        <w:tblLayout w:type="fixed"/>
        <w:tblCellMar>
          <w:top w:w="0" w:type="dxa"/>
          <w:left w:w="28" w:type="dxa"/>
          <w:bottom w:w="0" w:type="dxa"/>
          <w:right w:w="28" w:type="dxa"/>
        </w:tblCellMar>
        <w:tblLook w:firstRow="1" w:noVBand="1" w:lastRow="0" w:firstColumn="1" w:lastColumn="0" w:noHBand="0" w:val="04a0"/>
      </w:tblPr>
      <w:tblGrid>
        <w:gridCol w:w="2089"/>
        <w:gridCol w:w="3533"/>
        <w:gridCol w:w="1405"/>
        <w:gridCol w:w="2031"/>
      </w:tblGrid>
      <w:tr>
        <w:trPr>
          <w:trHeight w:val="574" w:hRule="atLeast"/>
        </w:trPr>
        <w:tc>
          <w:tcPr>
            <w:tcW w:w="20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Источник</w:t>
            </w:r>
          </w:p>
        </w:tc>
        <w:tc>
          <w:tcPr>
            <w:tcW w:w="353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0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203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813"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микрорайонов «Спортивный, Научный, Пучково») (НИ-1)</w:t>
            </w:r>
          </w:p>
        </w:tc>
        <w:tc>
          <w:tcPr>
            <w:tcW w:w="353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650"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микрорайона «Ольговский» (НИ-2)</w:t>
            </w:r>
          </w:p>
        </w:tc>
        <w:tc>
          <w:tcPr>
            <w:tcW w:w="353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105000</w:t>
            </w:r>
          </w:p>
        </w:tc>
        <w:tc>
          <w:tcPr>
            <w:tcW w:w="203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1138"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в микрорайоне «Тепличный» (НИ-3)</w:t>
            </w:r>
          </w:p>
        </w:tc>
        <w:tc>
          <w:tcPr>
            <w:tcW w:w="353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140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57000</w:t>
            </w:r>
          </w:p>
        </w:tc>
        <w:tc>
          <w:tcPr>
            <w:tcW w:w="203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813"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в районе Грабцевского шоссе (НИ-4)</w:t>
            </w:r>
          </w:p>
        </w:tc>
        <w:tc>
          <w:tcPr>
            <w:tcW w:w="353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шоссе, 31». «Ленина, 23», «Грабцевское шоссе, 22б» и "Маяковского, 35"</w:t>
            </w:r>
          </w:p>
        </w:tc>
        <w:tc>
          <w:tcPr>
            <w:tcW w:w="140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148500</w:t>
            </w:r>
          </w:p>
        </w:tc>
        <w:tc>
          <w:tcPr>
            <w:tcW w:w="203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650"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353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новой БМК на территории выводимой из эксплуатации котельной по адресу: ул.Баррикад, 181а</w:t>
            </w:r>
          </w:p>
        </w:tc>
        <w:tc>
          <w:tcPr>
            <w:tcW w:w="140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2000</w:t>
            </w:r>
          </w:p>
        </w:tc>
        <w:tc>
          <w:tcPr>
            <w:tcW w:w="203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bl>
    <w:p>
      <w:pPr>
        <w:pStyle w:val="Heading1"/>
        <w:numPr>
          <w:ilvl w:val="0"/>
          <w:numId w:val="0"/>
        </w:numPr>
        <w:ind w:hanging="0" w:left="0"/>
        <w:jc w:val="center"/>
        <w:rPr/>
      </w:pPr>
      <w:bookmarkStart w:id="176" w:name="_Toc132981692"/>
      <w:r>
        <w:rPr/>
        <w:t>Раздел 6. Предложения по строительству, реконструкции и МОДЕРНИЗАЦИИ тепловых сетей</w:t>
      </w:r>
      <w:bookmarkEnd w:id="176"/>
    </w:p>
    <w:p>
      <w:pPr>
        <w:pStyle w:val="Heading2"/>
        <w:numPr>
          <w:ilvl w:val="1"/>
          <w:numId w:val="32"/>
        </w:numPr>
        <w:rPr/>
      </w:pPr>
      <w:bookmarkStart w:id="177" w:name="_Toc132981693"/>
      <w:r>
        <w:rPr/>
        <w:t>Общие положения</w:t>
      </w:r>
      <w:bookmarkEnd w:id="177"/>
    </w:p>
    <w:p>
      <w:pPr>
        <w:pStyle w:val="Normal"/>
        <w:spacing w:lineRule="auto" w:line="360" w:before="120" w:after="0"/>
        <w:ind w:firstLine="567" w:left="102" w:right="45"/>
        <w:rPr>
          <w:rFonts w:eastAsia="Arial" w:cs="Arial"/>
          <w:spacing w:val="0"/>
        </w:rPr>
      </w:pPr>
      <w:r>
        <w:rPr>
          <w:rFonts w:eastAsia="Arial" w:cs="Arial"/>
          <w:spacing w:val="0"/>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 xml:space="preserve">Предложения по развитию системы теплоснабжения в части тепловых сетей приведены в </w:t>
      </w:r>
      <w:r>
        <w:rPr>
          <w:rFonts w:cs="Arial"/>
          <w:sz w:val="24"/>
          <w:szCs w:val="24"/>
        </w:rPr>
        <w:t>Главе 8 «Предложения по строительству и реконструкции тепловых сетей и сооружений на них» (шифр 29401.ОМ-ПСТ.008.000) Обосновывающих материалов к схеме теплоснабжения муниципального образования «Город Калуга» до 2027 г. Решения принимались на основе расчетов, выполненных с использованием электронной модели системы теплоснабжения муниципального образования «Город Калуга», описание которой приведено в Книге 3 «Электронная модель системы теплоснабжения города» (шифр 29401.ОМ-ПСТ.003.000)  и соответствующих приложениях.</w:t>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подключения новых потребителей;</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объединения котельных;</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подключения новых потребителей;</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объединения котельных;</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нормализации гидравлических режимов;</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обеспечения надежности.</w:t>
      </w:r>
    </w:p>
    <w:p>
      <w:pPr>
        <w:pStyle w:val="Normal"/>
        <w:spacing w:lineRule="auto" w:line="360"/>
        <w:rPr>
          <w:sz w:val="24"/>
        </w:rPr>
      </w:pPr>
      <w:r>
        <w:rPr>
          <w:sz w:val="24"/>
        </w:rPr>
        <w:t>Наименование участков, приведено в соответствии с электронной моделью систем теплоснабжения МО «Город Калуга».</w:t>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sectPr>
          <w:headerReference w:type="default" r:id="rId90"/>
          <w:headerReference w:type="first" r:id="rId91"/>
          <w:footerReference w:type="default" r:id="rId92"/>
          <w:footerReference w:type="first" r:id="rId93"/>
          <w:type w:val="nextPage"/>
          <w:pgSz w:w="11906" w:h="16838"/>
          <w:pgMar w:left="1701" w:right="1134" w:gutter="0" w:header="510" w:top="851" w:footer="691" w:bottom="1134"/>
          <w:pgNumType w:fmt="decimal"/>
          <w:formProt w:val="false"/>
          <w:textDirection w:val="lrTb"/>
          <w:docGrid w:type="default" w:linePitch="360" w:charSpace="0"/>
        </w:sectPr>
        <w:pStyle w:val="Normal"/>
        <w:widowControl/>
        <w:spacing w:lineRule="auto" w:line="360" w:before="0" w:after="0"/>
        <w:textAlignment w:val="auto"/>
        <w:rPr>
          <w:rFonts w:eastAsia="Times New Roman"/>
          <w:color w:val="FF0000"/>
          <w:kern w:val="2"/>
          <w:sz w:val="24"/>
          <w:lang w:eastAsia="ru-RU"/>
        </w:rPr>
      </w:pPr>
      <w:r>
        <w:rPr>
          <w:rFonts w:eastAsia="Times New Roman"/>
          <w:color w:val="FF0000"/>
          <w:kern w:val="2"/>
          <w:sz w:val="24"/>
          <w:lang w:eastAsia="ru-RU"/>
        </w:rPr>
      </w:r>
    </w:p>
    <w:p>
      <w:pPr>
        <w:pStyle w:val="Normal"/>
        <w:widowControl/>
        <w:spacing w:before="0" w:after="0"/>
        <w:ind w:hanging="0"/>
        <w:jc w:val="left"/>
        <w:textAlignment w:val="auto"/>
        <w:rPr>
          <w:b/>
          <w:bCs/>
          <w:sz w:val="18"/>
          <w:szCs w:val="18"/>
        </w:rPr>
      </w:pPr>
      <w:r>
        <w:rPr>
          <w:b/>
          <w:bCs/>
          <w:sz w:val="18"/>
          <w:szCs w:val="18"/>
        </w:rPr>
      </w:r>
    </w:p>
    <w:p>
      <w:pPr>
        <w:pStyle w:val="Heading2"/>
        <w:numPr>
          <w:ilvl w:val="1"/>
          <w:numId w:val="32"/>
        </w:numPr>
        <w:ind w:hanging="0" w:left="0"/>
        <w:jc w:val="center"/>
        <w:rPr/>
      </w:pPr>
      <w:r>
        <w:rPr/>
        <w:t xml:space="preserve"> </w:t>
      </w:r>
      <w:bookmarkStart w:id="178" w:name="_Toc132981694"/>
      <w:r>
        <w:rPr/>
        <w:t>Предложения по новому строительству для объединения котельных</w:t>
      </w:r>
      <w:bookmarkEnd w:id="178"/>
    </w:p>
    <w:p>
      <w:pPr>
        <w:pStyle w:val="Caption"/>
        <w:rPr/>
      </w:pPr>
      <w:bookmarkStart w:id="179" w:name="_Toc132971378"/>
      <w:r>
        <w:rPr/>
        <w:t>Таблица 6.</w:t>
      </w:r>
      <w:r>
        <w:rPr/>
        <w:fldChar w:fldCharType="begin"/>
      </w:r>
      <w:r>
        <w:rPr/>
        <w:instrText xml:space="preserve"> SEQ Таблица \* ARABIC </w:instrText>
      </w:r>
      <w:r>
        <w:rPr/>
        <w:fldChar w:fldCharType="separate"/>
      </w:r>
      <w:r>
        <w:rPr/>
        <w:t>1</w:t>
      </w:r>
      <w:r>
        <w:rPr/>
        <w:fldChar w:fldCharType="end"/>
      </w:r>
      <w:r>
        <w:rPr/>
        <w:t>.  Предложения по новому строительству для объединения котельных</w:t>
      </w:r>
      <w:bookmarkEnd w:id="179"/>
    </w:p>
    <w:tbl>
      <w:tblPr>
        <w:tblW w:w="5000" w:type="pct"/>
        <w:jc w:val="left"/>
        <w:tblInd w:w="-80" w:type="dxa"/>
        <w:tblLayout w:type="fixed"/>
        <w:tblCellMar>
          <w:top w:w="0" w:type="dxa"/>
          <w:left w:w="28" w:type="dxa"/>
          <w:bottom w:w="0" w:type="dxa"/>
          <w:right w:w="28" w:type="dxa"/>
        </w:tblCellMar>
        <w:tblLook w:firstRow="1" w:noVBand="1" w:lastRow="0" w:firstColumn="1" w:lastColumn="0" w:noHBand="0" w:val="04a0"/>
      </w:tblPr>
      <w:tblGrid>
        <w:gridCol w:w="923"/>
        <w:gridCol w:w="1976"/>
        <w:gridCol w:w="2100"/>
        <w:gridCol w:w="1242"/>
        <w:gridCol w:w="1223"/>
        <w:gridCol w:w="1224"/>
        <w:gridCol w:w="2751"/>
        <w:gridCol w:w="2008"/>
        <w:gridCol w:w="1404"/>
      </w:tblGrid>
      <w:tr>
        <w:trPr>
          <w:tblHeader w:val="true"/>
          <w:trHeight w:val="693" w:hRule="atLeast"/>
          <w:cantSplit w:val="true"/>
        </w:trPr>
        <w:tc>
          <w:tcPr>
            <w:tcW w:w="923"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976"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2100"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242"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223"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м</w:t>
            </w:r>
          </w:p>
        </w:tc>
        <w:tc>
          <w:tcPr>
            <w:tcW w:w="1224"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диаметр ОТ, м</w:t>
            </w:r>
          </w:p>
        </w:tc>
        <w:tc>
          <w:tcPr>
            <w:tcW w:w="2751"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2008"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нового строительства, тыс. руб.</w:t>
            </w:r>
          </w:p>
        </w:tc>
        <w:tc>
          <w:tcPr>
            <w:tcW w:w="1404"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42234</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 гвс</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13,6</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Вишневского, 1</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221</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7"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42148</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Котельная Пестеля, 32б</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188</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Пестеля, 32б</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5059,08</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42149</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Котельная Пестеля, 32б (ГВС)</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188</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Пестеля, 32б</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2432,72</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42146</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ТК-23</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86</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Кирова, 67а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2314,26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42133</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ТКир15</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Театральная, 4г</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53</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725,04</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42135</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ТКК14</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Московская, 31</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165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2484,9</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42137</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ТК154а</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Кропоткина, 4а</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260</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3556,8</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42159</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ТК-23</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941,85</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42181</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ТК-15</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95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2556,45</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42183</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89</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185"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42194</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Кот-ая инф. больницы</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Инфекционная больница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489,5</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42195</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Кот-ая инф. больницы гвс</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Инфекционная больница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315,15</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42161</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ТК-13</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106</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ул.В.Андриановой, 5а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2195,26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227"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42145</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Ф.Энгельса, 13</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115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 Горького, 1б</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1573,2</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42218</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ТК-46</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ТК-46</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15,06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42223</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50</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684</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42226</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ТК76</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5948,7</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42141</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 26 см</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Болотникова, 29</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270</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4066,2</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42143</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ТК-4а</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Хрустальная, 50а</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535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10068,7</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выполнено</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42180</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ТК-4а</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198</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2845,26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выполнено</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42131</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ТК13</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ТК-21</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45</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Кибальчича</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846,9</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42409</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Новый Тепличный</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0,4</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0,4</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504,1</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42413</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387</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7283,34</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42414</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Уз3Т1</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ТК-14</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236</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4887,56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42525</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256</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7577,6</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42528</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ТК18к</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Гурьянова, 59а</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168</w:t>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ТЭЦ-1</w:t>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2298,24</w:t>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4225,6</w:t>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2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cs="Calibri" w:ascii="Calibri" w:hAnsi="Calibri"/>
                <w:color w:val="000000"/>
                <w:spacing w:val="0"/>
                <w:sz w:val="18"/>
                <w:lang w:eastAsia="ru-RU"/>
              </w:rPr>
              <w:t>-</w:t>
            </w:r>
          </w:p>
        </w:tc>
        <w:tc>
          <w:tcPr>
            <w:tcW w:w="122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cs="Calibri" w:ascii="Calibri" w:hAnsi="Calibri"/>
                <w:color w:val="000000"/>
                <w:spacing w:val="0"/>
                <w:sz w:val="18"/>
                <w:lang w:eastAsia="ru-RU"/>
              </w:rPr>
              <w:t>75307,37</w:t>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2008" w:type="dxa"/>
            <w:tcBorders/>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976"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100"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r>
        <w:trPr>
          <w:trHeight w:val="300" w:hRule="atLeast"/>
          <w:cantSplit w:val="true"/>
        </w:trPr>
        <w:tc>
          <w:tcPr>
            <w:tcW w:w="4999" w:type="dxa"/>
            <w:gridSpan w:val="3"/>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4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4"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7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200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bl>
    <w:p>
      <w:pPr>
        <w:pStyle w:val="Heading2"/>
        <w:numPr>
          <w:ilvl w:val="1"/>
          <w:numId w:val="32"/>
        </w:numPr>
        <w:ind w:hanging="0" w:left="0"/>
        <w:jc w:val="center"/>
        <w:rPr/>
      </w:pPr>
      <w:bookmarkStart w:id="180" w:name="_Toc132981695"/>
      <w:r>
        <w:rPr/>
        <w:t>Предложения по реконструкции с увеличением диаметра для нормализации гидравлических режимов</w:t>
      </w:r>
      <w:bookmarkEnd w:id="180"/>
    </w:p>
    <w:p>
      <w:pPr>
        <w:pStyle w:val="Normal"/>
        <w:spacing w:lineRule="auto" w:line="360"/>
        <w:ind w:hanging="0"/>
        <w:rPr>
          <w:b/>
          <w:bCs/>
          <w:sz w:val="18"/>
          <w:szCs w:val="18"/>
        </w:rPr>
      </w:pPr>
      <w:r>
        <w:rPr>
          <w:b/>
          <w:bCs/>
          <w:sz w:val="18"/>
          <w:szCs w:val="18"/>
        </w:rPr>
      </w:r>
    </w:p>
    <w:p>
      <w:pPr>
        <w:pStyle w:val="Caption"/>
        <w:jc w:val="both"/>
        <w:rPr/>
      </w:pPr>
      <w:bookmarkStart w:id="181" w:name="_Toc132971379"/>
      <w:r>
        <w:rPr/>
        <w:t>Таблица 6.</w:t>
      </w:r>
      <w:r>
        <w:rPr/>
        <w:fldChar w:fldCharType="begin"/>
      </w:r>
      <w:r>
        <w:rPr/>
        <w:instrText xml:space="preserve"> SEQ Таблица \* ARABIC </w:instrText>
      </w:r>
      <w:r>
        <w:rPr/>
        <w:fldChar w:fldCharType="separate"/>
      </w:r>
      <w:r>
        <w:rPr/>
        <w:t>2</w:t>
      </w:r>
      <w:r>
        <w:rPr/>
        <w:fldChar w:fldCharType="end"/>
      </w:r>
      <w:r>
        <w:rPr/>
        <w:t>.  Предложения по реконструкции с увеличением диаметра для нормализации гидравлических режимов</w:t>
      </w:r>
      <w:bookmarkEnd w:id="181"/>
    </w:p>
    <w:tbl>
      <w:tblPr>
        <w:tblW w:w="5000" w:type="pct"/>
        <w:jc w:val="left"/>
        <w:tblInd w:w="0" w:type="dxa"/>
        <w:tblLayout w:type="fixed"/>
        <w:tblCellMar>
          <w:top w:w="0" w:type="dxa"/>
          <w:left w:w="28" w:type="dxa"/>
          <w:bottom w:w="0" w:type="dxa"/>
          <w:right w:w="28" w:type="dxa"/>
        </w:tblCellMar>
        <w:tblLook w:firstRow="1" w:noVBand="1" w:lastRow="0" w:firstColumn="1" w:lastColumn="0" w:noHBand="0" w:val="04a0"/>
      </w:tblPr>
      <w:tblGrid>
        <w:gridCol w:w="883"/>
        <w:gridCol w:w="1613"/>
        <w:gridCol w:w="1781"/>
        <w:gridCol w:w="1052"/>
        <w:gridCol w:w="1907"/>
        <w:gridCol w:w="1907"/>
        <w:gridCol w:w="2382"/>
        <w:gridCol w:w="1907"/>
        <w:gridCol w:w="1419"/>
      </w:tblGrid>
      <w:tr>
        <w:trPr>
          <w:tblHeader w:val="true"/>
          <w:trHeight w:val="70" w:hRule="atLeast"/>
          <w:cantSplit w:val="true"/>
        </w:trPr>
        <w:tc>
          <w:tcPr>
            <w:tcW w:w="883"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613"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1781"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052"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907"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до реконструкции, м</w:t>
            </w:r>
          </w:p>
        </w:tc>
        <w:tc>
          <w:tcPr>
            <w:tcW w:w="1907"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Предлагаемый диаметр к реконструкции, м</w:t>
            </w:r>
          </w:p>
        </w:tc>
        <w:tc>
          <w:tcPr>
            <w:tcW w:w="2382"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1907"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реконструкции, тыс. руб.</w:t>
            </w:r>
          </w:p>
        </w:tc>
        <w:tc>
          <w:tcPr>
            <w:tcW w:w="1419"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7119</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ТК-6</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ТК-16</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20</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286,2</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7121</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ТК-16</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7123</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ТК-17</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601,02</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6075</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В.Андриановой, 5а</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56,5245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39779</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30</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373,2</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39790</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39794</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7,7</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110,187</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39797</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357,75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39906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ТК-3а</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 xml:space="preserve"> </w:t>
            </w: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40016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ТК-2а</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82</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1775,3</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30468</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Кибальчича, 17а</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1071</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15396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ТК-83</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15398</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ТК82</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47</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672,57</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15404</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ТК82</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50</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15416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67</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958,77</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15668</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ТК51</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ТК94</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138</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4271,1</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15678</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ТК94</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ТК68</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95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2940,25</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42226</w:t>
            </w:r>
          </w:p>
        </w:tc>
        <w:tc>
          <w:tcPr>
            <w:tcW w:w="1613"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ТК76</w:t>
            </w:r>
          </w:p>
        </w:tc>
        <w:tc>
          <w:tcPr>
            <w:tcW w:w="1781"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0,175</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7694,6</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4277" w:type="dxa"/>
            <w:gridSpan w:val="3"/>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052"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1059,15</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238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1907" w:type="dxa"/>
            <w:tcBorders>
              <w:bottom w:val="single" w:sz="4" w:space="0" w:color="000000"/>
              <w:right w:val="single" w:sz="4" w:space="0" w:color="000000"/>
            </w:tcBorders>
            <w:shd w:color="000000" w:fill="FFFFFF"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22048,537</w:t>
            </w:r>
          </w:p>
        </w:tc>
        <w:tc>
          <w:tcPr>
            <w:tcW w:w="141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r>
    </w:tbl>
    <w:p>
      <w:pPr>
        <w:pStyle w:val="Normal"/>
        <w:widowControl/>
        <w:spacing w:before="0" w:after="0"/>
        <w:ind w:hanging="0"/>
        <w:jc w:val="left"/>
        <w:textAlignment w:val="auto"/>
        <w:rPr/>
      </w:pPr>
      <w:r>
        <w:rPr/>
      </w:r>
      <w:r>
        <w:br w:type="page"/>
      </w:r>
    </w:p>
    <w:p>
      <w:pPr>
        <w:pStyle w:val="Heading2"/>
        <w:numPr>
          <w:ilvl w:val="1"/>
          <w:numId w:val="32"/>
        </w:numPr>
        <w:spacing w:before="0" w:after="120"/>
        <w:ind w:hanging="0" w:left="0"/>
        <w:jc w:val="center"/>
        <w:rPr>
          <w:b/>
          <w:bCs/>
        </w:rPr>
      </w:pPr>
      <w:r>
        <w:rPr/>
        <w:t xml:space="preserve"> </w:t>
      </w:r>
      <w:bookmarkStart w:id="182" w:name="_Toc132981696"/>
      <w:r>
        <w:rPr/>
        <w:t xml:space="preserve">Предложения по </w:t>
      </w:r>
      <w:r>
        <w:rPr>
          <w:b/>
          <w:bCs/>
        </w:rPr>
        <w:t>новому строительству для обеспечения надежности</w:t>
      </w:r>
      <w:bookmarkEnd w:id="182"/>
    </w:p>
    <w:p>
      <w:pPr>
        <w:pStyle w:val="Normal"/>
        <w:rPr/>
      </w:pPr>
      <w:r>
        <w:rPr/>
      </w:r>
    </w:p>
    <w:p>
      <w:pPr>
        <w:pStyle w:val="Caption"/>
        <w:rPr/>
      </w:pPr>
      <w:bookmarkStart w:id="183" w:name="_Toc132971380"/>
      <w:r>
        <w:rPr/>
        <w:t>Таблица 6.</w:t>
      </w:r>
      <w:r>
        <w:rPr/>
        <w:fldChar w:fldCharType="begin"/>
      </w:r>
      <w:r>
        <w:rPr/>
        <w:instrText xml:space="preserve"> SEQ Таблица \* ARABIC </w:instrText>
      </w:r>
      <w:r>
        <w:rPr/>
        <w:fldChar w:fldCharType="separate"/>
      </w:r>
      <w:r>
        <w:rPr/>
        <w:t>3</w:t>
      </w:r>
      <w:r>
        <w:rPr/>
        <w:fldChar w:fldCharType="end"/>
      </w:r>
      <w:r>
        <w:rPr/>
        <w:t>.  Предложения по новому строительству для обеспечения надежности</w:t>
      </w:r>
      <w:bookmarkEnd w:id="183"/>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191"/>
        <w:gridCol w:w="1837"/>
        <w:gridCol w:w="2063"/>
        <w:gridCol w:w="1313"/>
        <w:gridCol w:w="1297"/>
        <w:gridCol w:w="1293"/>
        <w:gridCol w:w="2074"/>
        <w:gridCol w:w="2094"/>
        <w:gridCol w:w="1689"/>
      </w:tblGrid>
      <w:tr>
        <w:trPr>
          <w:trHeight w:val="64" w:hRule="atLeast"/>
        </w:trPr>
        <w:tc>
          <w:tcPr>
            <w:tcW w:w="1191"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837"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2063"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313"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297"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м</w:t>
            </w:r>
          </w:p>
        </w:tc>
        <w:tc>
          <w:tcPr>
            <w:tcW w:w="1293"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диаметр ОТ, м</w:t>
            </w:r>
          </w:p>
        </w:tc>
        <w:tc>
          <w:tcPr>
            <w:tcW w:w="2074"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2094"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нового строительства, тыс. руб.</w:t>
            </w:r>
          </w:p>
        </w:tc>
        <w:tc>
          <w:tcPr>
            <w:tcW w:w="1689" w:type="dxa"/>
            <w:tcBorders>
              <w:top w:val="single" w:sz="4" w:space="0" w:color="000000"/>
              <w:bottom w:val="single" w:sz="4" w:space="0" w:color="000000"/>
              <w:right w:val="single" w:sz="4" w:space="0" w:color="000000"/>
            </w:tcBorders>
            <w:shd w:color="000000" w:fill="C0C0C0"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64" w:hRule="atLeast"/>
        </w:trPr>
        <w:tc>
          <w:tcPr>
            <w:tcW w:w="1191"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8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ТКП4</w:t>
            </w:r>
          </w:p>
        </w:tc>
        <w:tc>
          <w:tcPr>
            <w:tcW w:w="206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У7</w:t>
            </w:r>
          </w:p>
        </w:tc>
        <w:tc>
          <w:tcPr>
            <w:tcW w:w="131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1000</w:t>
            </w:r>
          </w:p>
        </w:tc>
        <w:tc>
          <w:tcPr>
            <w:tcW w:w="129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0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1-й Академический пр., 29</w:t>
            </w:r>
          </w:p>
        </w:tc>
        <w:tc>
          <w:tcPr>
            <w:tcW w:w="20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18820</w:t>
            </w:r>
          </w:p>
        </w:tc>
        <w:tc>
          <w:tcPr>
            <w:tcW w:w="168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trPr>
        <w:tc>
          <w:tcPr>
            <w:tcW w:w="1191"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42527</w:t>
            </w:r>
          </w:p>
        </w:tc>
        <w:tc>
          <w:tcPr>
            <w:tcW w:w="183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206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w:t>
            </w:r>
          </w:p>
        </w:tc>
        <w:tc>
          <w:tcPr>
            <w:tcW w:w="131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9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0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КЭМЗ</w:t>
            </w:r>
          </w:p>
        </w:tc>
        <w:tc>
          <w:tcPr>
            <w:tcW w:w="20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269,1</w:t>
            </w:r>
          </w:p>
        </w:tc>
        <w:tc>
          <w:tcPr>
            <w:tcW w:w="168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trPr>
        <w:tc>
          <w:tcPr>
            <w:tcW w:w="509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31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1010</w:t>
            </w:r>
          </w:p>
        </w:tc>
        <w:tc>
          <w:tcPr>
            <w:tcW w:w="129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207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209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19089,1</w:t>
            </w:r>
          </w:p>
        </w:tc>
        <w:tc>
          <w:tcPr>
            <w:tcW w:w="168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r>
    </w:tbl>
    <w:p>
      <w:pPr>
        <w:pStyle w:val="Normal"/>
        <w:spacing w:lineRule="auto" w:line="360" w:before="0" w:after="0"/>
        <w:rPr>
          <w:b/>
          <w:bCs/>
          <w:sz w:val="18"/>
          <w:szCs w:val="18"/>
        </w:rPr>
      </w:pPr>
      <w:r>
        <w:rPr>
          <w:b/>
          <w:bCs/>
          <w:sz w:val="18"/>
          <w:szCs w:val="18"/>
        </w:rPr>
      </w:r>
    </w:p>
    <w:p>
      <w:pPr>
        <w:pStyle w:val="Normal"/>
        <w:spacing w:lineRule="auto" w:line="360" w:before="0" w:after="0"/>
        <w:rPr>
          <w:b/>
          <w:bCs/>
          <w:sz w:val="18"/>
          <w:szCs w:val="18"/>
        </w:rPr>
      </w:pPr>
      <w:r>
        <w:rPr>
          <w:b/>
          <w:bCs/>
          <w:sz w:val="18"/>
          <w:szCs w:val="18"/>
        </w:rPr>
      </w:r>
    </w:p>
    <w:p>
      <w:pPr>
        <w:pStyle w:val="Heading2"/>
        <w:numPr>
          <w:ilvl w:val="1"/>
          <w:numId w:val="32"/>
        </w:numPr>
        <w:ind w:hanging="0" w:left="0"/>
        <w:jc w:val="center"/>
        <w:rPr/>
      </w:pPr>
      <w:r>
        <w:rPr/>
        <w:t xml:space="preserve"> </w:t>
      </w:r>
      <w:bookmarkStart w:id="184" w:name="_Toc132981697"/>
      <w:r>
        <w:rPr/>
        <w:t>Предложения по новому строительству для обеспечения надежности</w:t>
      </w:r>
      <w:bookmarkEnd w:id="184"/>
    </w:p>
    <w:p>
      <w:pPr>
        <w:pStyle w:val="Normal"/>
        <w:spacing w:lineRule="auto" w:line="360"/>
        <w:rPr>
          <w:sz w:val="24"/>
          <w:lang w:eastAsia="ru-RU"/>
        </w:rPr>
      </w:pPr>
      <w:r>
        <w:rPr>
          <w:sz w:val="24"/>
          <w:lang w:eastAsia="ru-RU"/>
        </w:rPr>
      </w:r>
    </w:p>
    <w:p>
      <w:pPr>
        <w:sectPr>
          <w:headerReference w:type="default" r:id="rId94"/>
          <w:headerReference w:type="first" r:id="rId95"/>
          <w:footerReference w:type="even" r:id="rId96"/>
          <w:footerReference w:type="default" r:id="rId97"/>
          <w:footerReference w:type="first" r:id="rId98"/>
          <w:type w:val="nextPage"/>
          <w:pgSz w:orient="landscape" w:w="16838" w:h="11906"/>
          <w:pgMar w:left="1134" w:right="851" w:gutter="0" w:header="510" w:top="811" w:footer="692" w:bottom="1134"/>
          <w:pgNumType w:fmt="decimal"/>
          <w:formProt w:val="false"/>
          <w:textDirection w:val="lrTb"/>
          <w:docGrid w:type="default" w:linePitch="360" w:charSpace="0"/>
        </w:sect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ориентировочно составит минимум 1 млрд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участков трубопроводов тепловых сетей.</w:t>
      </w:r>
    </w:p>
    <w:p>
      <w:pPr>
        <w:pStyle w:val="Heading1"/>
        <w:numPr>
          <w:ilvl w:val="0"/>
          <w:numId w:val="0"/>
        </w:numPr>
        <w:pBdr>
          <w:top w:val="single" w:sz="48" w:space="3" w:color="FFFFFF"/>
          <w:left w:val="single" w:sz="6" w:space="1" w:color="FFFFFF"/>
          <w:bottom w:val="single" w:sz="6" w:space="3" w:color="FFFFFF"/>
        </w:pBdr>
        <w:ind w:hanging="0" w:left="0"/>
        <w:jc w:val="center"/>
        <w:rPr/>
      </w:pPr>
      <w:bookmarkStart w:id="185" w:name="_Toc132981698"/>
      <w:r>
        <w:rPr/>
        <w:t>раздел 7. Предложения по переводу открытых систем теплоснабжения (горячего водоснабжения) в закрытые системы горячего водоснабжения</w:t>
      </w:r>
      <w:bookmarkEnd w:id="185"/>
    </w:p>
    <w:p>
      <w:pPr>
        <w:pStyle w:val="Normal"/>
        <w:rPr/>
      </w:pPr>
      <w:r>
        <w:rPr/>
      </w:r>
    </w:p>
    <w:p>
      <w:pPr>
        <w:pStyle w:val="Normal"/>
        <w:spacing w:lineRule="auto" w:line="360"/>
        <w:rPr>
          <w:rFonts w:cs="Arial"/>
          <w:sz w:val="24"/>
          <w:szCs w:val="24"/>
          <w:lang w:eastAsia="ru-RU"/>
        </w:rPr>
      </w:pPr>
      <w:r>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pPr>
        <w:pStyle w:val="Normal"/>
        <w:spacing w:lineRule="auto" w:line="360"/>
        <w:rPr>
          <w:rFonts w:cs="Arial"/>
          <w:sz w:val="24"/>
          <w:szCs w:val="24"/>
          <w:lang w:eastAsia="ru-RU"/>
        </w:rPr>
      </w:pPr>
      <w:r>
        <w:rPr>
          <w:rFonts w:cs="Arial"/>
          <w:sz w:val="24"/>
          <w:szCs w:val="24"/>
          <w:lang w:eastAsia="ru-RU"/>
        </w:rPr>
        <w:t>В соответствии с п. 8 ст. 40 Федерального закона от 07.12. 2011 года № 416-ФЗ «О водоснабжении и водоотведении»:</w:t>
      </w:r>
    </w:p>
    <w:p>
      <w:pPr>
        <w:pStyle w:val="Normal"/>
        <w:spacing w:lineRule="auto" w:line="360"/>
        <w:rPr>
          <w:rFonts w:cs="Arial"/>
          <w:sz w:val="24"/>
          <w:szCs w:val="24"/>
          <w:lang w:eastAsia="ru-RU"/>
        </w:rPr>
      </w:pPr>
      <w:r>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pPr>
        <w:pStyle w:val="Normal"/>
        <w:spacing w:lineRule="auto" w:line="360"/>
        <w:rPr>
          <w:rFonts w:cs="Arial"/>
          <w:sz w:val="24"/>
          <w:szCs w:val="24"/>
          <w:lang w:eastAsia="ru-RU"/>
        </w:rPr>
      </w:pPr>
      <w:r>
        <w:rPr>
          <w:rFonts w:cs="Arial"/>
          <w:sz w:val="24"/>
          <w:szCs w:val="24"/>
          <w:lang w:eastAsia="ru-RU"/>
        </w:rPr>
        <w:t>В соответствии с п. 10 ст. 20 Федерального закона от 07.12.2011 года № 417- 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pPr>
        <w:pStyle w:val="Normal"/>
        <w:spacing w:lineRule="auto" w:line="360"/>
        <w:rPr>
          <w:rFonts w:cs="Arial"/>
          <w:sz w:val="24"/>
          <w:szCs w:val="24"/>
          <w:lang w:eastAsia="ru-RU"/>
        </w:rPr>
      </w:pPr>
      <w:r>
        <w:rPr>
          <w:rFonts w:cs="Arial"/>
          <w:sz w:val="24"/>
          <w:szCs w:val="24"/>
          <w:lang w:eastAsia="ru-RU"/>
        </w:rPr>
        <w:t>статью 29 Федерального закона от 27.07.2010 № 190-ФЗ «О теплоснабжении»:</w:t>
      </w:r>
    </w:p>
    <w:p>
      <w:pPr>
        <w:pStyle w:val="Normal"/>
        <w:spacing w:lineRule="auto" w:line="360"/>
        <w:rPr>
          <w:rFonts w:cs="Arial"/>
          <w:sz w:val="24"/>
          <w:szCs w:val="24"/>
          <w:lang w:eastAsia="ru-RU"/>
        </w:rPr>
      </w:pPr>
      <w:r>
        <w:rPr>
          <w:rFonts w:cs="Arial"/>
          <w:sz w:val="24"/>
          <w:szCs w:val="24"/>
          <w:lang w:eastAsia="ru-RU"/>
        </w:rPr>
        <w:t>а) дополнить частью 8 следующего содержания:</w:t>
      </w:r>
    </w:p>
    <w:p>
      <w:pPr>
        <w:pStyle w:val="Normal"/>
        <w:spacing w:lineRule="auto" w:line="360"/>
        <w:rPr>
          <w:rFonts w:cs="Arial"/>
          <w:sz w:val="24"/>
          <w:szCs w:val="24"/>
          <w:lang w:eastAsia="ru-RU"/>
        </w:rPr>
      </w:pPr>
      <w:r>
        <w:rPr>
          <w:rFonts w:cs="Arial"/>
          <w:sz w:val="24"/>
          <w:szCs w:val="24"/>
          <w:lang w:eastAsia="ru-RU"/>
        </w:rPr>
        <w:t>1. С 01.01.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pPr>
        <w:pStyle w:val="Normal"/>
        <w:spacing w:lineRule="auto" w:line="360"/>
        <w:rPr>
          <w:rFonts w:cs="Arial"/>
          <w:sz w:val="24"/>
          <w:szCs w:val="24"/>
          <w:lang w:eastAsia="ru-RU"/>
        </w:rPr>
      </w:pPr>
      <w:r>
        <w:rPr>
          <w:rFonts w:cs="Arial"/>
          <w:sz w:val="24"/>
          <w:szCs w:val="24"/>
          <w:lang w:eastAsia="ru-RU"/>
        </w:rPr>
        <w:t>б) дополнить частью 9 следующего содержания:</w:t>
      </w:r>
    </w:p>
    <w:p>
      <w:pPr>
        <w:pStyle w:val="Normal"/>
        <w:spacing w:lineRule="auto" w:line="360"/>
        <w:rPr>
          <w:rFonts w:cs="Arial"/>
          <w:sz w:val="24"/>
          <w:szCs w:val="24"/>
          <w:lang w:eastAsia="ru-RU"/>
        </w:rPr>
      </w:pPr>
      <w:r>
        <w:rPr>
          <w:rFonts w:cs="Arial"/>
          <w:sz w:val="24"/>
          <w:szCs w:val="24"/>
          <w:lang w:eastAsia="ru-RU"/>
        </w:rPr>
        <w:t>1. С 01.01.2022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pPr>
        <w:pStyle w:val="Normal"/>
        <w:spacing w:lineRule="auto" w:line="360"/>
        <w:rPr>
          <w:rFonts w:cs="Arial"/>
          <w:sz w:val="24"/>
          <w:szCs w:val="24"/>
          <w:lang w:eastAsia="ru-RU"/>
        </w:rPr>
      </w:pPr>
      <w:r>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pPr>
        <w:pStyle w:val="Normal"/>
        <w:spacing w:lineRule="auto" w:line="360"/>
        <w:rPr>
          <w:rFonts w:cs="Arial"/>
          <w:sz w:val="24"/>
          <w:szCs w:val="24"/>
          <w:lang w:eastAsia="ru-RU"/>
        </w:rPr>
      </w:pPr>
      <w:r>
        <w:rPr>
          <w:rFonts w:cs="Arial"/>
          <w:sz w:val="24"/>
          <w:szCs w:val="24"/>
          <w:lang w:eastAsia="ru-RU"/>
        </w:rPr>
        <w:t>Актуальность перевода открытых систем горячего водоснабжения на закрытые обусловлена тем, что:</w:t>
      </w:r>
    </w:p>
    <w:p>
      <w:pPr>
        <w:pStyle w:val="Normal"/>
        <w:numPr>
          <w:ilvl w:val="0"/>
          <w:numId w:val="20"/>
        </w:numPr>
        <w:spacing w:lineRule="auto" w:line="360" w:before="120" w:after="120"/>
        <w:contextualSpacing/>
        <w:rPr>
          <w:rFonts w:cs="Arial"/>
          <w:sz w:val="24"/>
          <w:szCs w:val="24"/>
          <w:lang w:eastAsia="ru-RU"/>
        </w:rPr>
      </w:pPr>
      <w:r>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pPr>
        <w:pStyle w:val="Normal"/>
        <w:numPr>
          <w:ilvl w:val="0"/>
          <w:numId w:val="20"/>
        </w:numPr>
        <w:spacing w:lineRule="auto" w:line="360" w:before="120" w:after="120"/>
        <w:contextualSpacing/>
        <w:rPr>
          <w:rFonts w:cs="Arial"/>
          <w:sz w:val="24"/>
          <w:szCs w:val="24"/>
          <w:lang w:eastAsia="ru-RU"/>
        </w:rPr>
      </w:pPr>
      <w:r>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pPr>
        <w:pStyle w:val="Normal"/>
        <w:spacing w:lineRule="auto" w:line="360"/>
        <w:rPr>
          <w:rFonts w:cs="Arial"/>
          <w:sz w:val="24"/>
          <w:szCs w:val="24"/>
          <w:lang w:eastAsia="ru-RU"/>
        </w:rPr>
      </w:pPr>
      <w:r>
        <w:rPr>
          <w:rFonts w:cs="Arial"/>
          <w:sz w:val="24"/>
          <w:szCs w:val="24"/>
          <w:lang w:eastAsia="ru-RU"/>
        </w:rPr>
        <w:t>Переход на закрытую схему присоединения систем ГВС позволит обеспечить:</w:t>
      </w:r>
    </w:p>
    <w:p>
      <w:pPr>
        <w:pStyle w:val="Normal"/>
        <w:spacing w:lineRule="auto" w:line="360"/>
        <w:rPr>
          <w:rFonts w:cs="Arial"/>
          <w:sz w:val="24"/>
          <w:szCs w:val="24"/>
          <w:lang w:eastAsia="ru-RU"/>
        </w:rPr>
      </w:pPr>
      <w:r>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pPr>
        <w:pStyle w:val="Normal"/>
        <w:spacing w:lineRule="auto" w:line="360"/>
        <w:rPr>
          <w:rFonts w:cs="Arial"/>
          <w:sz w:val="24"/>
          <w:szCs w:val="24"/>
          <w:lang w:eastAsia="ru-RU"/>
        </w:rPr>
      </w:pPr>
      <w:r>
        <w:rPr>
          <w:rFonts w:cs="Arial"/>
          <w:sz w:val="24"/>
          <w:szCs w:val="24"/>
          <w:lang w:eastAsia="ru-RU"/>
        </w:rPr>
        <w:t>- снижение внутренней коррозии трубопроводов и отложения солей;</w:t>
      </w:r>
    </w:p>
    <w:p>
      <w:pPr>
        <w:pStyle w:val="Normal"/>
        <w:spacing w:lineRule="auto" w:line="360"/>
        <w:rPr>
          <w:rFonts w:cs="Arial"/>
          <w:sz w:val="24"/>
          <w:szCs w:val="24"/>
          <w:lang w:eastAsia="ru-RU"/>
        </w:rPr>
      </w:pPr>
      <w:r>
        <w:rPr>
          <w:rFonts w:cs="Arial"/>
          <w:sz w:val="24"/>
          <w:szCs w:val="24"/>
          <w:lang w:eastAsia="ru-RU"/>
        </w:rPr>
        <w:t>- снижение темпов износа оборудования тепловых станций и котельных;</w:t>
      </w:r>
    </w:p>
    <w:p>
      <w:pPr>
        <w:pStyle w:val="Normal"/>
        <w:spacing w:lineRule="auto" w:line="360"/>
        <w:rPr>
          <w:rFonts w:cs="Arial"/>
          <w:sz w:val="24"/>
          <w:szCs w:val="24"/>
          <w:lang w:eastAsia="ru-RU"/>
        </w:rPr>
      </w:pPr>
      <w:r>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pPr>
        <w:pStyle w:val="Normal"/>
        <w:spacing w:lineRule="auto" w:line="360"/>
        <w:rPr>
          <w:rFonts w:cs="Arial"/>
          <w:sz w:val="24"/>
          <w:szCs w:val="24"/>
          <w:lang w:eastAsia="ru-RU"/>
        </w:rPr>
      </w:pPr>
      <w:r>
        <w:rPr>
          <w:rFonts w:cs="Arial"/>
          <w:sz w:val="24"/>
          <w:szCs w:val="24"/>
          <w:lang w:eastAsia="ru-RU"/>
        </w:rPr>
        <w:t>- снижение объемов работ по химводоподготовке подпиточной воды и, соответственно, затрат;</w:t>
      </w:r>
    </w:p>
    <w:p>
      <w:pPr>
        <w:pStyle w:val="Normal"/>
        <w:spacing w:lineRule="auto" w:line="360"/>
        <w:rPr>
          <w:rFonts w:cs="Arial"/>
          <w:sz w:val="24"/>
          <w:szCs w:val="24"/>
          <w:lang w:eastAsia="ru-RU"/>
        </w:rPr>
      </w:pPr>
      <w:r>
        <w:rPr>
          <w:rFonts w:cs="Arial"/>
          <w:sz w:val="24"/>
          <w:szCs w:val="24"/>
          <w:lang w:eastAsia="ru-RU"/>
        </w:rPr>
        <w:t>- снижение аварийности систем теплоснабжения.</w:t>
      </w:r>
    </w:p>
    <w:p>
      <w:pPr>
        <w:pStyle w:val="Normal"/>
        <w:spacing w:lineRule="auto" w:line="360"/>
        <w:rPr>
          <w:rFonts w:cs="Arial"/>
          <w:sz w:val="24"/>
          <w:szCs w:val="24"/>
          <w:lang w:eastAsia="ru-RU"/>
        </w:rPr>
      </w:pPr>
      <w:r>
        <w:rPr>
          <w:rFonts w:cs="Arial"/>
          <w:sz w:val="24"/>
          <w:szCs w:val="24"/>
          <w:lang w:eastAsia="ru-RU"/>
        </w:rPr>
        <w:t>Предлагается при сохранении существующей схемы присоединения систем отопления абонентов осуществлять подачу горячей воды через водоподогреватели ГВС.</w:t>
      </w:r>
    </w:p>
    <w:p>
      <w:pPr>
        <w:pStyle w:val="Normal"/>
        <w:spacing w:lineRule="auto" w:line="360"/>
        <w:rPr>
          <w:rFonts w:cs="Arial"/>
          <w:sz w:val="24"/>
          <w:szCs w:val="24"/>
          <w:lang w:eastAsia="ru-RU"/>
        </w:rPr>
      </w:pPr>
      <w:r>
        <w:rPr>
          <w:rFonts w:cs="Arial"/>
          <w:sz w:val="24"/>
          <w:szCs w:val="24"/>
          <w:lang w:eastAsia="ru-RU"/>
        </w:rPr>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pPr>
        <w:pStyle w:val="Normal"/>
        <w:spacing w:lineRule="auto" w:line="360"/>
        <w:rPr>
          <w:rFonts w:cs="Arial"/>
          <w:sz w:val="24"/>
          <w:szCs w:val="24"/>
          <w:lang w:eastAsia="ru-RU"/>
        </w:rPr>
      </w:pPr>
      <w:r>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pPr>
        <w:pStyle w:val="Normal"/>
        <w:spacing w:lineRule="auto" w:line="360"/>
        <w:rPr>
          <w:rFonts w:cs="Arial"/>
          <w:sz w:val="24"/>
          <w:szCs w:val="24"/>
          <w:lang w:eastAsia="ru-RU"/>
        </w:rPr>
      </w:pPr>
      <w:r>
        <w:rPr>
          <w:rFonts w:cs="Arial"/>
          <w:sz w:val="24"/>
          <w:szCs w:val="24"/>
          <w:lang w:eastAsia="ru-RU"/>
        </w:rPr>
        <w:t>По информации руководителей АО «Тайфун», котельная, с установленной мощностью 60 Гкал/час, имеет присоединенную мощность 73,7 Гкал/час, дефицит мощности при этом составляет 13 Гкал/час. АО «Тайфун» предлагает отключить участки тепловой сети (теплоснабжение ж/д по ул. Клюквина, д.30; ж/д по ул. Клюквина, д.30, корп.1; ж/д по ул. Пригородная, д.29; МБДОУ №80 «Медвеженок»; ж/д по ул. Платова, д.40 с суммарной присоединенной мощностью 1,26 Гкал/час и переключить вышеуказанных потребителей к источникам теплоснабжения МУП «Калугатеплосеть».</w:t>
      </w:r>
    </w:p>
    <w:p>
      <w:pPr>
        <w:pStyle w:val="Normal"/>
        <w:spacing w:lineRule="auto" w:line="360"/>
        <w:rPr>
          <w:rFonts w:cs="Arial"/>
          <w:sz w:val="24"/>
          <w:szCs w:val="24"/>
          <w:lang w:eastAsia="ru-RU"/>
        </w:rPr>
      </w:pPr>
      <w:r>
        <w:rPr>
          <w:rFonts w:cs="Arial"/>
          <w:sz w:val="24"/>
          <w:szCs w:val="24"/>
          <w:lang w:eastAsia="ru-RU"/>
        </w:rPr>
        <w:t>В настоящее время не определены источник финансирования и сроки проведения вышеуказанных мероприятий.</w:t>
      </w:r>
    </w:p>
    <w:p>
      <w:pPr>
        <w:pStyle w:val="Normal"/>
        <w:spacing w:lineRule="auto" w:line="360"/>
        <w:rPr>
          <w:rFonts w:cs="Arial"/>
          <w:sz w:val="24"/>
          <w:szCs w:val="24"/>
          <w:lang w:eastAsia="ru-RU"/>
        </w:rPr>
      </w:pPr>
      <w:r>
        <w:rPr/>
        <w:drawing>
          <wp:inline distT="0" distB="0" distL="0" distR="0">
            <wp:extent cx="5760720" cy="8157845"/>
            <wp:effectExtent l="0" t="0" r="0" b="0"/>
            <wp:docPr id="42" name="Рисунок 73739" descr="C:\Users\E.Khozikov\Desktop\Тайфун-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73739" descr="C:\Users\E.Khozikov\Desktop\Тайфун-001-001.jpg"/>
                    <pic:cNvPicPr>
                      <a:picLocks noChangeAspect="1" noChangeArrowheads="1"/>
                    </pic:cNvPicPr>
                  </pic:nvPicPr>
                  <pic:blipFill>
                    <a:blip r:embed="rId99"/>
                    <a:stretch>
                      <a:fillRect/>
                    </a:stretch>
                  </pic:blipFill>
                  <pic:spPr bwMode="auto">
                    <a:xfrm>
                      <a:off x="0" y="0"/>
                      <a:ext cx="5760720" cy="8157845"/>
                    </a:xfrm>
                    <a:prstGeom prst="rect">
                      <a:avLst/>
                    </a:prstGeom>
                    <a:noFill/>
                  </pic:spPr>
                </pic:pic>
              </a:graphicData>
            </a:graphic>
          </wp:inline>
        </w:drawing>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drawing>
          <wp:inline distT="0" distB="0" distL="0" distR="0">
            <wp:extent cx="5760720" cy="8157845"/>
            <wp:effectExtent l="0" t="0" r="0" b="0"/>
            <wp:docPr id="43" name="Рисунок 73768" descr="C:\Users\E.Khozikov\Desktop\Тайфун-0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73768" descr="C:\Users\E.Khozikov\Desktop\Тайфун-002-001.jpg"/>
                    <pic:cNvPicPr>
                      <a:picLocks noChangeAspect="1" noChangeArrowheads="1"/>
                    </pic:cNvPicPr>
                  </pic:nvPicPr>
                  <pic:blipFill>
                    <a:blip r:embed="rId100"/>
                    <a:stretch>
                      <a:fillRect/>
                    </a:stretch>
                  </pic:blipFill>
                  <pic:spPr bwMode="auto">
                    <a:xfrm>
                      <a:off x="0" y="0"/>
                      <a:ext cx="5760720" cy="8157845"/>
                    </a:xfrm>
                    <a:prstGeom prst="rect">
                      <a:avLst/>
                    </a:prstGeom>
                    <a:noFill/>
                  </pic:spPr>
                </pic:pic>
              </a:graphicData>
            </a:graphic>
          </wp:inline>
        </w:drawing>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ind w:hanging="0"/>
        <w:rPr>
          <w:rFonts w:cs="Arial"/>
          <w:sz w:val="24"/>
          <w:szCs w:val="24"/>
          <w:lang w:eastAsia="ru-RU"/>
        </w:rPr>
      </w:pPr>
      <w:r>
        <w:rPr>
          <w:rFonts w:cs="Arial"/>
          <w:sz w:val="24"/>
          <w:szCs w:val="24"/>
          <w:lang w:eastAsia="ru-RU"/>
        </w:rPr>
      </w:r>
    </w:p>
    <w:p>
      <w:pPr>
        <w:pStyle w:val="Normal"/>
        <w:jc w:val="center"/>
        <w:rPr>
          <w:b/>
          <w:bCs/>
          <w:sz w:val="24"/>
          <w:szCs w:val="24"/>
        </w:rPr>
      </w:pPr>
      <w:r>
        <w:rPr>
          <w:b/>
          <w:bCs/>
          <w:sz w:val="24"/>
          <w:szCs w:val="24"/>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микрорайона «Тайфун».</w:t>
      </w:r>
    </w:p>
    <w:p>
      <w:pPr>
        <w:pStyle w:val="Normal"/>
        <w:spacing w:lineRule="auto" w:line="360"/>
        <w:rPr>
          <w:rFonts w:cs="Arial"/>
          <w:sz w:val="24"/>
          <w:szCs w:val="24"/>
          <w:lang w:eastAsia="ru-RU"/>
        </w:rPr>
      </w:pPr>
      <w:r>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pPr>
        <w:pStyle w:val="Normal"/>
        <w:spacing w:lineRule="auto" w:line="360"/>
        <w:rPr>
          <w:rFonts w:cs="Arial"/>
          <w:sz w:val="24"/>
          <w:szCs w:val="24"/>
          <w:lang w:eastAsia="ru-RU"/>
        </w:rPr>
      </w:pPr>
      <w:r>
        <w:rPr>
          <w:rFonts w:cs="Arial"/>
          <w:sz w:val="24"/>
          <w:szCs w:val="24"/>
          <w:lang w:eastAsia="ru-RU"/>
        </w:rPr>
        <w:t>Для теплоснабжения удаленных потребителей, а именно: общежитие по ул. Платова, 40, детский сад, ясли №80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pPr>
        <w:pStyle w:val="Normal"/>
        <w:spacing w:lineRule="auto" w:line="360" w:before="120" w:after="0"/>
        <w:rPr>
          <w:rFonts w:cs="Arial"/>
          <w:sz w:val="24"/>
          <w:szCs w:val="24"/>
          <w:lang w:eastAsia="ru-RU"/>
        </w:rPr>
      </w:pPr>
      <w:r>
        <w:rPr>
          <w:rFonts w:cs="Arial"/>
          <w:sz w:val="24"/>
          <w:szCs w:val="24"/>
          <w:lang w:eastAsia="ru-RU"/>
        </w:rPr>
        <w:t xml:space="preserve">Ориентировочная стоимость: </w:t>
      </w:r>
    </w:p>
    <w:p>
      <w:pPr>
        <w:pStyle w:val="Normal"/>
        <w:spacing w:lineRule="auto" w:line="360" w:before="120" w:after="0"/>
        <w:rPr>
          <w:rFonts w:cs="Arial"/>
          <w:sz w:val="24"/>
          <w:szCs w:val="24"/>
          <w:lang w:eastAsia="ru-RU"/>
        </w:rPr>
      </w:pPr>
      <w:r>
        <w:rPr>
          <w:rFonts w:cs="Arial"/>
          <w:sz w:val="24"/>
          <w:szCs w:val="24"/>
          <w:lang w:eastAsia="ru-RU"/>
        </w:rPr>
        <w:t>Строительство блочно - модульной котельной по адресу: г. Калуга, ул. Платова, 40:</w:t>
      </w:r>
    </w:p>
    <w:p>
      <w:pPr>
        <w:pStyle w:val="Normal"/>
        <w:spacing w:lineRule="auto" w:line="360" w:before="120" w:after="0"/>
        <w:rPr>
          <w:rFonts w:cs="Arial"/>
          <w:sz w:val="24"/>
          <w:szCs w:val="24"/>
          <w:lang w:eastAsia="ru-RU"/>
        </w:rPr>
      </w:pPr>
      <w:r>
        <w:rPr>
          <w:rFonts w:cs="Arial"/>
          <w:sz w:val="24"/>
          <w:szCs w:val="24"/>
          <w:lang w:eastAsia="ru-RU"/>
        </w:rPr>
        <w:t>- ПИР – 1 721 363,17 руб.</w:t>
      </w:r>
    </w:p>
    <w:p>
      <w:pPr>
        <w:pStyle w:val="Normal"/>
        <w:spacing w:lineRule="auto" w:line="360" w:before="120" w:after="0"/>
        <w:rPr>
          <w:rFonts w:cs="Arial"/>
          <w:sz w:val="24"/>
          <w:szCs w:val="24"/>
          <w:lang w:eastAsia="ru-RU"/>
        </w:rPr>
      </w:pPr>
      <w:r>
        <w:rPr>
          <w:rFonts w:cs="Arial"/>
          <w:sz w:val="24"/>
          <w:szCs w:val="24"/>
          <w:lang w:eastAsia="ru-RU"/>
        </w:rPr>
        <w:t>- Госэкспертиза – 600 000,00 руб.</w:t>
      </w:r>
    </w:p>
    <w:p>
      <w:pPr>
        <w:pStyle w:val="Normal"/>
        <w:spacing w:lineRule="auto" w:line="360" w:before="120" w:after="0"/>
        <w:rPr>
          <w:rFonts w:cs="Arial"/>
          <w:sz w:val="24"/>
          <w:szCs w:val="24"/>
          <w:lang w:eastAsia="ru-RU"/>
        </w:rPr>
      </w:pPr>
      <w:r>
        <w:rPr>
          <w:rFonts w:cs="Arial"/>
          <w:sz w:val="24"/>
          <w:szCs w:val="24"/>
          <w:lang w:eastAsia="ru-RU"/>
        </w:rPr>
        <w:t>- СМР – 17 213 631,68 руб.</w:t>
      </w:r>
    </w:p>
    <w:p>
      <w:pPr>
        <w:pStyle w:val="Normal"/>
        <w:spacing w:lineRule="auto" w:line="360" w:before="120" w:after="0"/>
        <w:rPr>
          <w:rFonts w:cs="Arial"/>
          <w:sz w:val="24"/>
          <w:szCs w:val="24"/>
          <w:lang w:eastAsia="ru-RU"/>
        </w:rPr>
      </w:pPr>
      <w:r>
        <w:rPr>
          <w:rFonts w:cs="Arial"/>
          <w:sz w:val="24"/>
          <w:szCs w:val="24"/>
          <w:lang w:eastAsia="ru-RU"/>
        </w:rPr>
        <w:tab/>
        <w:t>Строительство сетей:</w:t>
      </w:r>
    </w:p>
    <w:p>
      <w:pPr>
        <w:pStyle w:val="Normal"/>
        <w:spacing w:lineRule="auto" w:line="360" w:before="120" w:after="0"/>
        <w:rPr>
          <w:rFonts w:cs="Arial"/>
          <w:sz w:val="24"/>
          <w:szCs w:val="24"/>
          <w:lang w:eastAsia="ru-RU"/>
        </w:rPr>
      </w:pPr>
      <w:r>
        <w:rPr>
          <w:rFonts w:cs="Arial"/>
          <w:sz w:val="24"/>
          <w:szCs w:val="24"/>
          <w:lang w:eastAsia="ru-RU"/>
        </w:rPr>
        <w:t>- ПИР – 4 542 770,30 руб.</w:t>
      </w:r>
    </w:p>
    <w:p>
      <w:pPr>
        <w:pStyle w:val="Normal"/>
        <w:spacing w:lineRule="auto" w:line="360" w:before="120" w:after="0"/>
        <w:rPr>
          <w:rFonts w:cs="Arial"/>
          <w:sz w:val="24"/>
          <w:szCs w:val="24"/>
          <w:lang w:eastAsia="ru-RU"/>
        </w:rPr>
      </w:pPr>
      <w:r>
        <w:rPr>
          <w:rFonts w:cs="Arial"/>
          <w:sz w:val="24"/>
          <w:szCs w:val="24"/>
          <w:lang w:eastAsia="ru-RU"/>
        </w:rPr>
        <w:t>- Госэкспертиза – 1 500 000,00 руб.</w:t>
      </w:r>
    </w:p>
    <w:p>
      <w:pPr>
        <w:pStyle w:val="Normal"/>
        <w:spacing w:lineRule="auto" w:line="360" w:before="120" w:after="0"/>
        <w:rPr>
          <w:rFonts w:cs="Arial"/>
          <w:sz w:val="24"/>
          <w:szCs w:val="24"/>
          <w:lang w:eastAsia="ru-RU"/>
        </w:rPr>
      </w:pPr>
      <w:r>
        <w:rPr>
          <w:rFonts w:cs="Arial"/>
          <w:sz w:val="24"/>
          <w:szCs w:val="24"/>
          <w:lang w:eastAsia="ru-RU"/>
        </w:rPr>
        <w:t>- СМР – 45 427 703,03 руб.</w:t>
      </w:r>
    </w:p>
    <w:p>
      <w:pPr>
        <w:pStyle w:val="Normal"/>
        <w:spacing w:lineRule="auto" w:line="360" w:before="120" w:after="0"/>
        <w:rPr>
          <w:rFonts w:cs="Arial"/>
          <w:sz w:val="24"/>
          <w:szCs w:val="24"/>
          <w:lang w:eastAsia="ru-RU"/>
        </w:rPr>
      </w:pPr>
      <w:r>
        <w:rPr>
          <w:rFonts w:cs="Arial"/>
          <w:sz w:val="24"/>
          <w:szCs w:val="24"/>
          <w:lang w:eastAsia="ru-RU"/>
        </w:rPr>
        <w:tab/>
        <w:t>Строительство ИТП:</w:t>
      </w:r>
    </w:p>
    <w:p>
      <w:pPr>
        <w:pStyle w:val="Normal"/>
        <w:spacing w:lineRule="auto" w:line="360" w:before="120" w:after="0"/>
        <w:rPr>
          <w:rFonts w:cs="Arial"/>
          <w:sz w:val="24"/>
          <w:szCs w:val="24"/>
          <w:lang w:eastAsia="ru-RU"/>
        </w:rPr>
      </w:pPr>
      <w:r>
        <w:rPr>
          <w:rFonts w:cs="Arial"/>
          <w:sz w:val="24"/>
          <w:szCs w:val="24"/>
          <w:lang w:eastAsia="ru-RU"/>
        </w:rPr>
        <w:t>- ПИР – 10 340 432,82 руб.</w:t>
      </w:r>
    </w:p>
    <w:p>
      <w:pPr>
        <w:pStyle w:val="Normal"/>
        <w:spacing w:lineRule="auto" w:line="360" w:before="120" w:after="0"/>
        <w:rPr>
          <w:rFonts w:cs="Arial"/>
          <w:sz w:val="24"/>
          <w:szCs w:val="24"/>
          <w:lang w:eastAsia="ru-RU"/>
        </w:rPr>
      </w:pPr>
      <w:r>
        <w:rPr>
          <w:rFonts w:cs="Arial"/>
          <w:sz w:val="24"/>
          <w:szCs w:val="24"/>
          <w:lang w:eastAsia="ru-RU"/>
        </w:rPr>
        <w:t>- Госэкспертиза – 1  500 000,00 руб.</w:t>
      </w:r>
    </w:p>
    <w:p>
      <w:pPr>
        <w:pStyle w:val="Normal"/>
        <w:spacing w:lineRule="auto" w:line="360" w:before="120" w:after="0"/>
        <w:rPr>
          <w:rFonts w:cs="Arial"/>
          <w:sz w:val="24"/>
          <w:szCs w:val="24"/>
          <w:lang w:eastAsia="ru-RU"/>
        </w:rPr>
      </w:pPr>
      <w:r>
        <w:rPr>
          <w:rFonts w:cs="Arial"/>
          <w:sz w:val="24"/>
          <w:szCs w:val="24"/>
          <w:lang w:eastAsia="ru-RU"/>
        </w:rPr>
        <w:t>- СМР – 103 404 328,20 руб.</w:t>
      </w:r>
    </w:p>
    <w:p>
      <w:pPr>
        <w:pStyle w:val="Normal"/>
        <w:spacing w:lineRule="auto" w:line="360"/>
        <w:jc w:val="left"/>
        <w:rPr>
          <w:rFonts w:cs="Arial"/>
          <w:sz w:val="24"/>
          <w:szCs w:val="24"/>
          <w:lang w:eastAsia="ru-RU"/>
        </w:rPr>
      </w:pPr>
      <w:r>
        <w:rPr>
          <w:rFonts w:cs="Arial"/>
          <w:sz w:val="24"/>
          <w:szCs w:val="24"/>
          <w:lang w:eastAsia="ru-RU"/>
        </w:rPr>
        <w:t xml:space="preserve"> </w:t>
      </w:r>
      <w:r>
        <w:rPr>
          <w:rFonts w:cs="Arial"/>
          <w:sz w:val="24"/>
          <w:szCs w:val="24"/>
          <w:lang w:eastAsia="ru-RU"/>
        </w:rPr>
        <w:tab/>
        <w:t xml:space="preserve">Таким образом, для выполнения вышеуказанных мероприятий требуется </w:t>
      </w:r>
      <w:r>
        <w:rPr>
          <w:rFonts w:cs="Arial"/>
          <w:b/>
          <w:sz w:val="24"/>
          <w:szCs w:val="24"/>
          <w:lang w:eastAsia="ru-RU"/>
        </w:rPr>
        <w:t>166 045 662,91</w:t>
      </w:r>
      <w:r>
        <w:rPr>
          <w:rFonts w:cs="Arial"/>
          <w:sz w:val="24"/>
          <w:szCs w:val="24"/>
          <w:lang w:eastAsia="ru-RU"/>
        </w:rPr>
        <w:t xml:space="preserve"> руб. Более точная стоимость сложится по результатам проектирования.</w:t>
      </w:r>
    </w:p>
    <w:p>
      <w:pPr>
        <w:pStyle w:val="Normal"/>
        <w:spacing w:lineRule="auto" w:line="360" w:before="120" w:after="0"/>
        <w:jc w:val="center"/>
        <w:rPr>
          <w:rFonts w:cs="Arial"/>
          <w:b/>
          <w:bCs/>
          <w:sz w:val="24"/>
          <w:szCs w:val="24"/>
          <w:lang w:eastAsia="ru-RU"/>
        </w:rPr>
      </w:pPr>
      <w:r>
        <w:rPr>
          <w:rFonts w:cs="Arial"/>
          <w:b/>
          <w:bCs/>
          <w:sz w:val="24"/>
          <w:szCs w:val="24"/>
          <w:lang w:eastAsia="ru-RU"/>
        </w:rPr>
        <w:t>Жизненный цикл проекта (горизонт расчета).</w:t>
      </w:r>
    </w:p>
    <w:p>
      <w:pPr>
        <w:pStyle w:val="Normal"/>
        <w:spacing w:lineRule="auto" w:line="360" w:before="120" w:after="0"/>
        <w:rPr>
          <w:rFonts w:cs="Arial"/>
          <w:sz w:val="24"/>
          <w:szCs w:val="24"/>
          <w:lang w:eastAsia="ru-RU"/>
        </w:rPr>
      </w:pPr>
      <w:r>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 необходимость в его обновлении, следовательно, и новых инвестиций.</w:t>
      </w:r>
    </w:p>
    <w:p>
      <w:pPr>
        <w:pStyle w:val="Normal"/>
        <w:spacing w:lineRule="auto" w:line="360" w:before="120" w:after="0"/>
        <w:rPr>
          <w:rFonts w:cs="Arial"/>
          <w:sz w:val="24"/>
          <w:szCs w:val="24"/>
          <w:lang w:eastAsia="ru-RU"/>
        </w:rPr>
      </w:pPr>
      <w:r>
        <w:rPr>
          <w:rFonts w:cs="Arial"/>
          <w:sz w:val="24"/>
          <w:szCs w:val="24"/>
          <w:lang w:eastAsia="ru-RU"/>
        </w:rPr>
        <w:t>Жизненный цикл проекта по котельной определяется - 10 лет</w:t>
      </w:r>
    </w:p>
    <w:p>
      <w:pPr>
        <w:pStyle w:val="Normal"/>
        <w:spacing w:lineRule="auto" w:line="360" w:before="120" w:after="0"/>
        <w:rPr>
          <w:rFonts w:cs="Arial"/>
          <w:sz w:val="24"/>
          <w:szCs w:val="24"/>
          <w:lang w:eastAsia="ru-RU"/>
        </w:rPr>
      </w:pPr>
      <w:r>
        <w:rPr>
          <w:rFonts w:cs="Arial"/>
          <w:sz w:val="24"/>
          <w:szCs w:val="24"/>
          <w:lang w:eastAsia="ru-RU"/>
        </w:rPr>
        <w:t>Жизненный цикл проекта по сетям определяется - 20 лет.</w:t>
      </w:r>
    </w:p>
    <w:p>
      <w:pPr>
        <w:pStyle w:val="Normal"/>
        <w:spacing w:lineRule="auto" w:line="360" w:before="120" w:after="0"/>
        <w:rPr>
          <w:rFonts w:cs="Arial"/>
          <w:sz w:val="24"/>
          <w:szCs w:val="24"/>
          <w:lang w:eastAsia="ru-RU"/>
        </w:rPr>
      </w:pPr>
      <w:r>
        <w:rPr>
          <w:rFonts w:cs="Arial"/>
          <w:sz w:val="24"/>
          <w:szCs w:val="24"/>
          <w:lang w:eastAsia="ru-RU"/>
        </w:rPr>
        <w:tab/>
        <w:t>МУП «Калугатеплосеть» г. Калуги оказывает услуги по передаче тепловой энергии от источника АО «Тайфун», по принадлежащим МУП  «Калугатеплосеть»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pPr>
        <w:pStyle w:val="Normal"/>
        <w:spacing w:lineRule="auto" w:line="360" w:before="120" w:after="0"/>
        <w:rPr>
          <w:rFonts w:cs="Arial"/>
          <w:sz w:val="24"/>
          <w:szCs w:val="24"/>
          <w:lang w:eastAsia="ru-RU"/>
        </w:rPr>
      </w:pPr>
      <w:r>
        <w:rPr>
          <w:rFonts w:cs="Arial"/>
          <w:sz w:val="24"/>
          <w:szCs w:val="24"/>
          <w:lang w:eastAsia="ru-RU"/>
        </w:rPr>
        <w:t xml:space="preserve">В свою очередь МУП «Калугатеплосеть»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pPr>
        <w:pStyle w:val="Normal"/>
        <w:spacing w:lineRule="auto" w:line="360" w:before="120" w:after="0"/>
        <w:rPr>
          <w:rFonts w:cs="Arial"/>
          <w:sz w:val="24"/>
          <w:szCs w:val="24"/>
          <w:lang w:eastAsia="ru-RU"/>
        </w:rPr>
      </w:pPr>
      <w:r>
        <w:rPr>
          <w:rFonts w:cs="Arial"/>
          <w:sz w:val="24"/>
          <w:szCs w:val="24"/>
          <w:lang w:eastAsia="ru-RU"/>
        </w:rPr>
        <w:t>Аналитика формирования тарифа по годам представлена в таблице</w:t>
      </w:r>
    </w:p>
    <w:p>
      <w:pPr>
        <w:pStyle w:val="Normal"/>
        <w:spacing w:lineRule="auto" w:line="360" w:before="120" w:after="0"/>
        <w:rPr>
          <w:rFonts w:cs="Arial"/>
          <w:sz w:val="24"/>
          <w:szCs w:val="24"/>
          <w:lang w:eastAsia="ru-RU"/>
        </w:rPr>
      </w:pPr>
      <w:r>
        <w:rPr>
          <w:rFonts w:cs="Arial"/>
          <w:sz w:val="24"/>
          <w:szCs w:val="24"/>
          <w:lang w:eastAsia="ru-RU"/>
        </w:rPr>
      </w:r>
    </w:p>
    <w:tbl>
      <w:tblPr>
        <w:tblStyle w:val="aff"/>
        <w:tblW w:w="906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2316"/>
        <w:gridCol w:w="2288"/>
        <w:gridCol w:w="2336"/>
      </w:tblGrid>
      <w:tr>
        <w:trPr>
          <w:trHeight w:val="20" w:hRule="atLeast"/>
        </w:trPr>
        <w:tc>
          <w:tcPr>
            <w:tcW w:w="2121" w:type="dxa"/>
            <w:tcBorders/>
            <w:vAlign w:val="center"/>
          </w:tcPr>
          <w:p>
            <w:pPr>
              <w:pStyle w:val="Normal"/>
              <w:spacing w:lineRule="auto" w:line="360" w:before="120" w:after="120"/>
              <w:ind w:firstLine="567" w:left="0"/>
              <w:rPr>
                <w:rFonts w:cs="Arial"/>
                <w:b/>
                <w:sz w:val="24"/>
                <w:szCs w:val="24"/>
                <w:lang w:eastAsia="ru-RU"/>
              </w:rPr>
            </w:pPr>
            <w:r>
              <w:rPr>
                <w:rFonts w:cs="Arial"/>
                <w:b/>
                <w:kern w:val="0"/>
                <w:sz w:val="24"/>
                <w:szCs w:val="24"/>
                <w:lang w:val="ru-RU" w:eastAsia="ru-RU" w:bidi="ar-SA"/>
              </w:rPr>
              <w:t>Период</w:t>
            </w:r>
          </w:p>
        </w:tc>
        <w:tc>
          <w:tcPr>
            <w:tcW w:w="2316" w:type="dxa"/>
            <w:tcBorders/>
            <w:vAlign w:val="center"/>
          </w:tcPr>
          <w:p>
            <w:pPr>
              <w:pStyle w:val="Normal"/>
              <w:spacing w:lineRule="auto" w:line="360" w:before="120" w:after="120"/>
              <w:ind w:hanging="0" w:left="0"/>
              <w:rPr>
                <w:rFonts w:cs="Arial"/>
                <w:b/>
                <w:sz w:val="24"/>
                <w:szCs w:val="24"/>
                <w:lang w:eastAsia="ru-RU"/>
              </w:rPr>
            </w:pPr>
            <w:r>
              <w:rPr>
                <w:rFonts w:cs="Arial"/>
                <w:b/>
                <w:kern w:val="0"/>
                <w:sz w:val="24"/>
                <w:szCs w:val="24"/>
                <w:lang w:val="ru-RU" w:eastAsia="ru-RU" w:bidi="ar-SA"/>
              </w:rPr>
              <w:t>Прогнозный к утверждению тариф, руб./Гкал</w:t>
            </w:r>
          </w:p>
        </w:tc>
        <w:tc>
          <w:tcPr>
            <w:tcW w:w="2288" w:type="dxa"/>
            <w:tcBorders/>
            <w:vAlign w:val="center"/>
          </w:tcPr>
          <w:p>
            <w:pPr>
              <w:pStyle w:val="Normal"/>
              <w:spacing w:lineRule="auto" w:line="360" w:before="120" w:after="120"/>
              <w:ind w:hanging="0" w:left="0"/>
              <w:rPr>
                <w:rFonts w:cs="Arial"/>
                <w:b/>
                <w:sz w:val="24"/>
                <w:szCs w:val="24"/>
                <w:lang w:eastAsia="ru-RU"/>
              </w:rPr>
            </w:pPr>
            <w:r>
              <w:rPr>
                <w:rFonts w:cs="Arial"/>
                <w:b/>
                <w:kern w:val="0"/>
                <w:sz w:val="24"/>
                <w:szCs w:val="24"/>
                <w:lang w:val="ru-RU" w:eastAsia="ru-RU" w:bidi="ar-SA"/>
              </w:rPr>
              <w:t>Прогнозный  фактический тариф, руб./Гкал</w:t>
            </w:r>
          </w:p>
        </w:tc>
        <w:tc>
          <w:tcPr>
            <w:tcW w:w="2336" w:type="dxa"/>
            <w:tcBorders/>
            <w:vAlign w:val="center"/>
          </w:tcPr>
          <w:p>
            <w:pPr>
              <w:pStyle w:val="Normal"/>
              <w:spacing w:lineRule="auto" w:line="360" w:before="120" w:after="120"/>
              <w:ind w:hanging="0" w:left="0"/>
              <w:rPr>
                <w:rFonts w:cs="Arial"/>
                <w:b/>
                <w:sz w:val="24"/>
                <w:szCs w:val="24"/>
                <w:lang w:eastAsia="ru-RU"/>
              </w:rPr>
            </w:pPr>
            <w:r>
              <w:rPr>
                <w:rFonts w:cs="Arial"/>
                <w:b/>
                <w:kern w:val="0"/>
                <w:sz w:val="24"/>
                <w:szCs w:val="24"/>
                <w:lang w:val="ru-RU" w:eastAsia="ru-RU" w:bidi="ar-SA"/>
              </w:rPr>
              <w:t>Убыток по деятельности, млн. руб.</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2024</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322,52</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417,16</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- 26,11</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2025</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333,81</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431,76</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- 27,03</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2026</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345,49</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446,87</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- 27,97</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2027</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357,58</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462,51</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- 28,95</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2028</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370,10</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478,70</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- 29,96</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2029</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383,05</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495,46</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- 31,01</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2030</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396,46</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512,80</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- 32,10</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2031</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410,34</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530,74</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- 33,22</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2032</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424,70</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549,32</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- 34,39</w:t>
            </w:r>
          </w:p>
        </w:tc>
      </w:tr>
      <w:tr>
        <w:trPr>
          <w:trHeight w:val="20" w:hRule="atLeast"/>
        </w:trPr>
        <w:tc>
          <w:tcPr>
            <w:tcW w:w="2121"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2033</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439,56</w:t>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568,55</w:t>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- 35,59</w:t>
            </w:r>
          </w:p>
        </w:tc>
      </w:tr>
      <w:tr>
        <w:trPr>
          <w:trHeight w:val="317" w:hRule="atLeast"/>
        </w:trPr>
        <w:tc>
          <w:tcPr>
            <w:tcW w:w="2121" w:type="dxa"/>
            <w:tcBorders/>
          </w:tcPr>
          <w:p>
            <w:pPr>
              <w:pStyle w:val="Normal"/>
              <w:spacing w:lineRule="auto" w:line="360" w:before="120" w:after="120"/>
              <w:ind w:hanging="0" w:left="0"/>
              <w:rPr>
                <w:rFonts w:cs="Arial"/>
                <w:sz w:val="24"/>
                <w:szCs w:val="24"/>
                <w:lang w:eastAsia="ru-RU"/>
              </w:rPr>
            </w:pPr>
            <w:r>
              <w:rPr>
                <w:rFonts w:cs="Arial"/>
                <w:kern w:val="0"/>
                <w:sz w:val="24"/>
                <w:szCs w:val="24"/>
                <w:lang w:val="ru-RU" w:eastAsia="ru-RU" w:bidi="ar-SA"/>
              </w:rPr>
              <w:t>Итого за 10 лет</w:t>
            </w:r>
          </w:p>
        </w:tc>
        <w:tc>
          <w:tcPr>
            <w:tcW w:w="231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r>
          </w:p>
        </w:tc>
        <w:tc>
          <w:tcPr>
            <w:tcW w:w="2288"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r>
          </w:p>
        </w:tc>
        <w:tc>
          <w:tcPr>
            <w:tcW w:w="2336" w:type="dxa"/>
            <w:tcBorders/>
          </w:tcPr>
          <w:p>
            <w:pPr>
              <w:pStyle w:val="Normal"/>
              <w:spacing w:lineRule="auto" w:line="360" w:before="120" w:after="120"/>
              <w:ind w:firstLine="567" w:left="0"/>
              <w:rPr>
                <w:rFonts w:cs="Arial"/>
                <w:sz w:val="24"/>
                <w:szCs w:val="24"/>
                <w:lang w:eastAsia="ru-RU"/>
              </w:rPr>
            </w:pPr>
            <w:r>
              <w:rPr>
                <w:rFonts w:cs="Arial"/>
                <w:kern w:val="0"/>
                <w:sz w:val="24"/>
                <w:szCs w:val="24"/>
                <w:lang w:val="ru-RU" w:eastAsia="ru-RU" w:bidi="ar-SA"/>
              </w:rPr>
              <w:t>- 306,33</w:t>
            </w:r>
          </w:p>
        </w:tc>
      </w:tr>
    </w:tbl>
    <w:p>
      <w:pPr>
        <w:pStyle w:val="Normal"/>
        <w:spacing w:lineRule="auto" w:line="360"/>
        <w:rPr>
          <w:rFonts w:cs="Arial"/>
          <w:lang w:eastAsia="ru-RU"/>
        </w:rPr>
      </w:pPr>
      <w:r>
        <w:rPr>
          <w:rFonts w:cs="Arial"/>
          <w:lang w:eastAsia="ru-RU"/>
        </w:rPr>
        <w:t>Деятельности в части услуг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pPr>
        <w:pStyle w:val="Normal"/>
        <w:spacing w:lineRule="auto" w:line="360"/>
        <w:rPr>
          <w:rFonts w:cs="Arial"/>
          <w:lang w:eastAsia="ru-RU"/>
        </w:rPr>
      </w:pPr>
      <w:r>
        <w:rPr>
          <w:rFonts w:cs="Arial"/>
          <w:lang w:eastAsia="ru-RU"/>
        </w:rPr>
        <w:t xml:space="preserve">Так же, на основании Постановления Правительства Российской Федерации от 3 мая 2022 г. № 997 «О внесении изменений в Постановление Правительства Российской Федерации от 22 февраля 2012 г. № 154 «О требованиях к схемам теплоснабжения, порядку их разработки и утверждения» </w:t>
      </w:r>
      <w:r>
        <w:rPr>
          <w:rFonts w:cs="Arial"/>
        </w:rPr>
        <w:t>(Собрание законодательства Российской Федерации, 2012, N 10, ст. 1242; 2018, N 16, ст. 2364; 2019, N 12, ст. 1317)</w:t>
      </w:r>
      <w:r>
        <w:rPr>
          <w:rFonts w:cs="Arial"/>
          <w:lang w:eastAsia="ru-RU"/>
        </w:rPr>
        <w:t>, дополненных пунктами 68(1) и 68(2) следующего содержания:</w:t>
      </w:r>
    </w:p>
    <w:p>
      <w:pPr>
        <w:pStyle w:val="Normal"/>
        <w:spacing w:lineRule="auto" w:line="360"/>
        <w:rPr>
          <w:rFonts w:cs="Arial"/>
          <w:lang w:eastAsia="ru-RU"/>
        </w:rPr>
      </w:pPr>
      <w:r>
        <w:rPr>
          <w:rFonts w:cs="Arial"/>
          <w:lang w:eastAsia="ru-RU"/>
        </w:rPr>
        <w:t>"68(1). Перевод открытых систем теплоснабжения (горячего водоснабжения), отдельных участков таких систем на закрытые системы горячего водоснабжения должен оцениваться как экономически эффективный в случае, если чистая приведенная стоимость проекта по переводу открытых систем теплоснабжения (горячего водоснабжения), отдельных участков таких систем на закрытые системы горячего водоснабжения на прогнозный период, равный 10 годам, с учетом инвестиционной стадии проекта имеет положительное значение.</w:t>
      </w:r>
    </w:p>
    <w:p>
      <w:pPr>
        <w:pStyle w:val="Normal"/>
        <w:spacing w:lineRule="auto" w:line="360"/>
        <w:rPr>
          <w:rFonts w:cs="Arial"/>
          <w:lang w:eastAsia="ru-RU"/>
        </w:rPr>
      </w:pPr>
      <w:r>
        <w:rPr>
          <w:rFonts w:cs="Arial"/>
          <w:lang w:eastAsia="ru-RU"/>
        </w:rPr>
        <w:t>При отсутствии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такие мероприятия могут быть включены в схему теплоснабжения по предложению органа местного самоуправления поселения, городского округа при наличии источника финансирования таких мероприятий в случае необходимости завершения начатых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и обеспечения требований к качеству и безопасности горячей воды.</w:t>
      </w:r>
    </w:p>
    <w:p>
      <w:pPr>
        <w:pStyle w:val="Normal"/>
        <w:spacing w:lineRule="auto" w:line="360"/>
        <w:rPr>
          <w:rFonts w:cs="Arial"/>
          <w:lang w:eastAsia="ru-RU"/>
        </w:rPr>
      </w:pPr>
      <w:r>
        <w:rPr>
          <w:rFonts w:cs="Arial"/>
          <w:lang w:eastAsia="ru-RU"/>
        </w:rPr>
        <w:t>Предложения по источникам финансирования мероприятий, проводимых на теплопотребляющих установках потребителей, обеспечивающих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 должны быть подтверждены соответствующими нормативными правовыми актами и (или) договорами (соглашениями).</w:t>
      </w:r>
    </w:p>
    <w:p>
      <w:pPr>
        <w:pStyle w:val="Normal"/>
        <w:spacing w:lineRule="auto" w:line="360"/>
        <w:rPr>
          <w:rFonts w:cs="Arial"/>
          <w:lang w:eastAsia="ru-RU"/>
        </w:rPr>
      </w:pPr>
      <w:r>
        <w:rPr>
          <w:rFonts w:cs="Arial"/>
          <w:lang w:eastAsia="ru-RU"/>
        </w:rPr>
        <w:t>68(2). В ценовых зонах теплоснабжения положения пункта 68 настоящего документа применяются в отношении инвестиций в строительство, реконструкцию, техническое перевооружение и (или) модернизацию, необходимых для осуществления регулируемых видов деятельности в сфере теплоснабжения."</w:t>
      </w:r>
    </w:p>
    <w:p>
      <w:pPr>
        <w:pStyle w:val="Normal"/>
        <w:spacing w:lineRule="auto" w:line="360"/>
        <w:rPr>
          <w:rFonts w:cs="Arial"/>
          <w:lang w:eastAsia="ru-RU"/>
        </w:rPr>
      </w:pPr>
      <w:r>
        <w:rPr>
          <w:rFonts w:cs="Arial"/>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pPr>
        <w:pStyle w:val="Normal"/>
        <w:spacing w:lineRule="auto" w:line="360"/>
        <w:rPr>
          <w:rFonts w:cs="Arial"/>
          <w:lang w:eastAsia="ru-RU"/>
        </w:rPr>
      </w:pPr>
      <w:r>
        <w:rPr>
          <w:rFonts w:cs="Arial"/>
          <w:lang w:eastAsia="ru-RU"/>
        </w:rPr>
      </w:r>
    </w:p>
    <w:p>
      <w:pPr>
        <w:pStyle w:val="Normal"/>
        <w:spacing w:before="120" w:after="0"/>
        <w:ind w:firstLine="709"/>
        <w:rPr>
          <w:rFonts w:ascii="Times New Roman" w:hAnsi="Times New Roman"/>
          <w:sz w:val="28"/>
          <w:szCs w:val="28"/>
        </w:rPr>
      </w:pPr>
      <w:r>
        <w:rPr>
          <w:rFonts w:ascii="Times New Roman" w:hAnsi="Times New Roman"/>
          <w:sz w:val="28"/>
          <w:szCs w:val="2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b/>
          <w:sz w:val="18"/>
          <w:szCs w:val="18"/>
        </w:rPr>
      </w:pPr>
      <w:r>
        <w:rPr>
          <w:b/>
          <w:sz w:val="18"/>
          <w:szCs w:val="18"/>
        </w:rPr>
      </w:r>
    </w:p>
    <w:p>
      <w:pPr>
        <w:pStyle w:val="Normal"/>
        <w:ind w:hanging="0"/>
        <w:rPr/>
      </w:pPr>
      <w:bookmarkStart w:id="186" w:name="_Toc132971381"/>
      <w:r>
        <w:rPr>
          <w:b/>
          <w:sz w:val="18"/>
          <w:szCs w:val="18"/>
        </w:rPr>
        <w:t>Таблица 7.</w:t>
      </w:r>
      <w:r>
        <w:rPr>
          <w:b/>
          <w:sz w:val="18"/>
          <w:szCs w:val="18"/>
        </w:rPr>
        <w:fldChar w:fldCharType="begin"/>
      </w:r>
      <w:r>
        <w:rPr>
          <w:sz w:val="18"/>
          <w:b/>
          <w:szCs w:val="18"/>
        </w:rPr>
        <w:instrText xml:space="preserve"> SEQ Таблица \* ARABIC </w:instrText>
      </w:r>
      <w:r>
        <w:rPr>
          <w:sz w:val="18"/>
          <w:b/>
          <w:szCs w:val="18"/>
        </w:rPr>
        <w:fldChar w:fldCharType="separate"/>
      </w:r>
      <w:r>
        <w:rPr>
          <w:sz w:val="18"/>
          <w:b/>
          <w:szCs w:val="18"/>
        </w:rPr>
        <w:t>1</w:t>
      </w:r>
      <w:r>
        <w:rPr>
          <w:sz w:val="18"/>
          <w:b/>
          <w:szCs w:val="18"/>
        </w:rPr>
        <w:fldChar w:fldCharType="end"/>
      </w:r>
      <w:r>
        <w:rPr>
          <w:b/>
          <w:sz w:val="18"/>
          <w:szCs w:val="18"/>
        </w:rPr>
        <w:t>.</w:t>
      </w:r>
      <w:r>
        <w:rPr/>
        <w:t xml:space="preserve">  </w:t>
      </w:r>
      <w:r>
        <w:rPr>
          <w:b/>
          <w:sz w:val="18"/>
          <w:szCs w:val="18"/>
        </w:rPr>
        <w:t>Расчет стоимости реконструкции системы теплоснаюжения с открытой на закрытую</w:t>
      </w:r>
      <w:bookmarkEnd w:id="186"/>
    </w:p>
    <w:p>
      <w:pPr>
        <w:pStyle w:val="Normal"/>
        <w:rPr>
          <w:sz w:val="24"/>
          <w:szCs w:val="24"/>
        </w:rPr>
      </w:pPr>
      <w:r>
        <w:rPr/>
        <w:drawing>
          <wp:inline distT="0" distB="0" distL="0" distR="0">
            <wp:extent cx="5760720" cy="7728585"/>
            <wp:effectExtent l="0" t="0" r="0" b="0"/>
            <wp:docPr id="44" name="Рисунок 737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73761" descr=""/>
                    <pic:cNvPicPr>
                      <a:picLocks noChangeAspect="1" noChangeArrowheads="1"/>
                    </pic:cNvPicPr>
                  </pic:nvPicPr>
                  <pic:blipFill>
                    <a:blip r:embed="rId101"/>
                    <a:stretch>
                      <a:fillRect/>
                    </a:stretch>
                  </pic:blipFill>
                  <pic:spPr bwMode="auto">
                    <a:xfrm>
                      <a:off x="0" y="0"/>
                      <a:ext cx="5760720" cy="7728585"/>
                    </a:xfrm>
                    <a:prstGeom prst="rect">
                      <a:avLst/>
                    </a:prstGeom>
                    <a:noFill/>
                  </pic:spPr>
                </pic:pic>
              </a:graphicData>
            </a:graphic>
          </wp:inline>
        </w:drawing>
      </w:r>
    </w:p>
    <w:p>
      <w:pPr>
        <w:pStyle w:val="Normal"/>
        <w:rPr>
          <w:sz w:val="24"/>
          <w:szCs w:val="24"/>
        </w:rPr>
      </w:pPr>
      <w:r>
        <w:rPr>
          <w:sz w:val="24"/>
          <w:szCs w:val="24"/>
        </w:rPr>
      </w:r>
    </w:p>
    <w:p>
      <w:pPr>
        <w:pStyle w:val="Normal"/>
        <w:ind w:hanging="0"/>
        <w:rPr>
          <w:b/>
          <w:sz w:val="18"/>
          <w:szCs w:val="18"/>
        </w:rPr>
      </w:pPr>
      <w:r>
        <w:rPr/>
        <w:drawing>
          <wp:inline distT="0" distB="0" distL="0" distR="0">
            <wp:extent cx="5760720" cy="3612515"/>
            <wp:effectExtent l="0" t="0" r="0" b="0"/>
            <wp:docPr id="45" name="Рисунок 737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73763" descr=""/>
                    <pic:cNvPicPr>
                      <a:picLocks noChangeAspect="1" noChangeArrowheads="1"/>
                    </pic:cNvPicPr>
                  </pic:nvPicPr>
                  <pic:blipFill>
                    <a:blip r:embed="rId102"/>
                    <a:stretch>
                      <a:fillRect/>
                    </a:stretch>
                  </pic:blipFill>
                  <pic:spPr bwMode="auto">
                    <a:xfrm>
                      <a:off x="0" y="0"/>
                      <a:ext cx="5760720" cy="3612515"/>
                    </a:xfrm>
                    <a:prstGeom prst="rect">
                      <a:avLst/>
                    </a:prstGeom>
                    <a:noFill/>
                  </pic:spPr>
                </pic:pic>
              </a:graphicData>
            </a:graphic>
          </wp:inline>
        </w:drawing>
      </w:r>
    </w:p>
    <w:p>
      <w:pPr>
        <w:pStyle w:val="Normal"/>
        <w:ind w:hanging="0"/>
        <w:rPr>
          <w:b/>
          <w:sz w:val="18"/>
          <w:szCs w:val="18"/>
        </w:rPr>
      </w:pPr>
      <w:r>
        <w:rPr/>
        <w:drawing>
          <wp:inline distT="0" distB="0" distL="0" distR="0">
            <wp:extent cx="5760720" cy="8086725"/>
            <wp:effectExtent l="0" t="0" r="0" b="0"/>
            <wp:docPr id="46" name="Рисунок 737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73764" descr=""/>
                    <pic:cNvPicPr>
                      <a:picLocks noChangeAspect="1" noChangeArrowheads="1"/>
                    </pic:cNvPicPr>
                  </pic:nvPicPr>
                  <pic:blipFill>
                    <a:blip r:embed="rId103"/>
                    <a:stretch>
                      <a:fillRect/>
                    </a:stretch>
                  </pic:blipFill>
                  <pic:spPr bwMode="auto">
                    <a:xfrm>
                      <a:off x="0" y="0"/>
                      <a:ext cx="5760720" cy="8086725"/>
                    </a:xfrm>
                    <a:prstGeom prst="rect">
                      <a:avLst/>
                    </a:prstGeom>
                    <a:noFill/>
                  </pic:spPr>
                </pic:pic>
              </a:graphicData>
            </a:graphic>
          </wp:inline>
        </w:drawing>
      </w:r>
    </w:p>
    <w:p>
      <w:pPr>
        <w:pStyle w:val="Normal"/>
        <w:ind w:hanging="0"/>
        <w:rPr>
          <w:b/>
          <w:sz w:val="18"/>
          <w:szCs w:val="18"/>
        </w:rPr>
      </w:pPr>
      <w:r>
        <w:rPr>
          <w:b/>
          <w:sz w:val="18"/>
          <w:szCs w:val="18"/>
        </w:rPr>
      </w:r>
    </w:p>
    <w:p>
      <w:pPr>
        <w:pStyle w:val="Normal"/>
        <w:ind w:hanging="0"/>
        <w:rPr>
          <w:b/>
          <w:sz w:val="18"/>
          <w:szCs w:val="18"/>
        </w:rPr>
      </w:pPr>
      <w:r>
        <w:rPr/>
        <w:drawing>
          <wp:inline distT="0" distB="0" distL="0" distR="0">
            <wp:extent cx="5760720" cy="3486785"/>
            <wp:effectExtent l="0" t="0" r="0" b="0"/>
            <wp:docPr id="47" name="Рисунок 737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73765" descr=""/>
                    <pic:cNvPicPr>
                      <a:picLocks noChangeAspect="1" noChangeArrowheads="1"/>
                    </pic:cNvPicPr>
                  </pic:nvPicPr>
                  <pic:blipFill>
                    <a:blip r:embed="rId104"/>
                    <a:stretch>
                      <a:fillRect/>
                    </a:stretch>
                  </pic:blipFill>
                  <pic:spPr bwMode="auto">
                    <a:xfrm>
                      <a:off x="0" y="0"/>
                      <a:ext cx="5760720" cy="3486785"/>
                    </a:xfrm>
                    <a:prstGeom prst="rect">
                      <a:avLst/>
                    </a:prstGeom>
                    <a:noFill/>
                  </pic:spPr>
                </pic:pic>
              </a:graphicData>
            </a:graphic>
          </wp:inline>
        </w:drawing>
      </w:r>
    </w:p>
    <w:p>
      <w:pPr>
        <w:pStyle w:val="Normal"/>
        <w:ind w:hanging="0"/>
        <w:rPr/>
      </w:pPr>
      <w:r>
        <w:rPr/>
      </w:r>
    </w:p>
    <w:p>
      <w:pPr>
        <w:pStyle w:val="Normal"/>
        <w:ind w:hanging="0"/>
        <w:rPr/>
      </w:pPr>
      <w:r>
        <w:rPr/>
        <w:drawing>
          <wp:inline distT="0" distB="0" distL="0" distR="0">
            <wp:extent cx="5982335" cy="3821430"/>
            <wp:effectExtent l="0" t="0" r="0" b="0"/>
            <wp:docPr id="48"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7" descr="C:\Users\belousov\Desktop\Схема КТС.jpg"/>
                    <pic:cNvPicPr>
                      <a:picLocks noChangeAspect="1" noChangeArrowheads="1"/>
                    </pic:cNvPicPr>
                  </pic:nvPicPr>
                  <pic:blipFill>
                    <a:blip r:embed="rId105"/>
                    <a:srcRect l="8487" t="3394" r="7730" b="7392"/>
                    <a:stretch>
                      <a:fillRect/>
                    </a:stretch>
                  </pic:blipFill>
                  <pic:spPr bwMode="auto">
                    <a:xfrm>
                      <a:off x="0" y="0"/>
                      <a:ext cx="5982335" cy="3821430"/>
                    </a:xfrm>
                    <a:prstGeom prst="rect">
                      <a:avLst/>
                    </a:prstGeom>
                    <a:noFill/>
                  </pic:spPr>
                </pic:pic>
              </a:graphicData>
            </a:graphic>
          </wp:inline>
        </w:drawing>
      </w:r>
    </w:p>
    <w:p>
      <w:pPr>
        <w:pStyle w:val="Normal"/>
        <w:ind w:hanging="0"/>
        <w:rPr/>
      </w:pPr>
      <w:r>
        <w:rPr/>
        <w:drawing>
          <wp:inline distT="0" distB="0" distL="0" distR="0">
            <wp:extent cx="6019800" cy="3834765"/>
            <wp:effectExtent l="0" t="0" r="0" b="0"/>
            <wp:docPr id="49"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8" descr="C:\Users\belousov\Desktop\Схема Тайфун.jpg"/>
                    <pic:cNvPicPr>
                      <a:picLocks noChangeAspect="1" noChangeArrowheads="1"/>
                    </pic:cNvPicPr>
                  </pic:nvPicPr>
                  <pic:blipFill>
                    <a:blip r:embed="rId106"/>
                    <a:srcRect l="9049" t="5630" r="7501" b="4373"/>
                    <a:stretch>
                      <a:fillRect/>
                    </a:stretch>
                  </pic:blipFill>
                  <pic:spPr bwMode="auto">
                    <a:xfrm>
                      <a:off x="0" y="0"/>
                      <a:ext cx="6019800" cy="3834765"/>
                    </a:xfrm>
                    <a:prstGeom prst="rect">
                      <a:avLst/>
                    </a:prstGeom>
                    <a:noFill/>
                  </pic:spPr>
                </pic:pic>
              </a:graphicData>
            </a:graphic>
          </wp:inline>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41">
            <wp:simplePos x="0" y="0"/>
            <wp:positionH relativeFrom="page">
              <wp:posOffset>1077595</wp:posOffset>
            </wp:positionH>
            <wp:positionV relativeFrom="page">
              <wp:posOffset>1186815</wp:posOffset>
            </wp:positionV>
            <wp:extent cx="5901690" cy="8256270"/>
            <wp:effectExtent l="0" t="0" r="0" b="0"/>
            <wp:wrapSquare wrapText="bothSides"/>
            <wp:docPr id="50"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2" descr=""/>
                    <pic:cNvPicPr>
                      <a:picLocks noChangeAspect="1" noChangeArrowheads="1"/>
                    </pic:cNvPicPr>
                  </pic:nvPicPr>
                  <pic:blipFill>
                    <a:blip r:embed="rId107"/>
                    <a:stretch>
                      <a:fillRect/>
                    </a:stretch>
                  </pic:blipFill>
                  <pic:spPr bwMode="auto">
                    <a:xfrm>
                      <a:off x="0" y="0"/>
                      <a:ext cx="5901690" cy="8256270"/>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42">
            <wp:simplePos x="0" y="0"/>
            <wp:positionH relativeFrom="page">
              <wp:posOffset>1077595</wp:posOffset>
            </wp:positionH>
            <wp:positionV relativeFrom="page">
              <wp:posOffset>1186815</wp:posOffset>
            </wp:positionV>
            <wp:extent cx="5926455" cy="8324850"/>
            <wp:effectExtent l="0" t="0" r="0" b="0"/>
            <wp:wrapSquare wrapText="bothSides"/>
            <wp:docPr id="51"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3" descr=""/>
                    <pic:cNvPicPr>
                      <a:picLocks noChangeAspect="1" noChangeArrowheads="1"/>
                    </pic:cNvPicPr>
                  </pic:nvPicPr>
                  <pic:blipFill>
                    <a:blip r:embed="rId108"/>
                    <a:stretch>
                      <a:fillRect/>
                    </a:stretch>
                  </pic:blipFill>
                  <pic:spPr bwMode="auto">
                    <a:xfrm>
                      <a:off x="0" y="0"/>
                      <a:ext cx="5926455" cy="8324850"/>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43">
            <wp:simplePos x="0" y="0"/>
            <wp:positionH relativeFrom="page">
              <wp:posOffset>1080135</wp:posOffset>
            </wp:positionH>
            <wp:positionV relativeFrom="page">
              <wp:posOffset>1429385</wp:posOffset>
            </wp:positionV>
            <wp:extent cx="5760720" cy="8101330"/>
            <wp:effectExtent l="0" t="0" r="0" b="0"/>
            <wp:wrapSquare wrapText="bothSides"/>
            <wp:docPr id="52"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4" descr=""/>
                    <pic:cNvPicPr>
                      <a:picLocks noChangeAspect="1" noChangeArrowheads="1"/>
                    </pic:cNvPicPr>
                  </pic:nvPicPr>
                  <pic:blipFill>
                    <a:blip r:embed="rId109"/>
                    <a:stretch>
                      <a:fillRect/>
                    </a:stretch>
                  </pic:blipFill>
                  <pic:spPr bwMode="auto">
                    <a:xfrm>
                      <a:off x="0" y="0"/>
                      <a:ext cx="5760720" cy="8101330"/>
                    </a:xfrm>
                    <a:prstGeom prst="rect">
                      <a:avLst/>
                    </a:prstGeom>
                    <a:noFill/>
                  </pic:spPr>
                </pic:pic>
              </a:graphicData>
            </a:graphic>
          </wp:anchor>
        </w:drawing>
      </w:r>
    </w:p>
    <w:p>
      <w:pPr>
        <w:pStyle w:val="Normal"/>
        <w:ind w:hanging="0"/>
        <w:rPr/>
      </w:pPr>
      <w:r>
        <w:rPr/>
      </w:r>
    </w:p>
    <w:p>
      <w:pPr>
        <w:pStyle w:val="Normal"/>
        <w:ind w:hanging="0"/>
        <w:rPr/>
      </w:pPr>
      <w:r>
        <w:rPr/>
        <w:drawing>
          <wp:anchor behindDoc="0" distT="0" distB="0" distL="114300" distR="114300" simplePos="0" locked="0" layoutInCell="0" allowOverlap="1" relativeHeight="44">
            <wp:simplePos x="0" y="0"/>
            <wp:positionH relativeFrom="page">
              <wp:posOffset>1080135</wp:posOffset>
            </wp:positionH>
            <wp:positionV relativeFrom="page">
              <wp:posOffset>955675</wp:posOffset>
            </wp:positionV>
            <wp:extent cx="5760720" cy="8068945"/>
            <wp:effectExtent l="0" t="0" r="0" b="0"/>
            <wp:wrapSquare wrapText="bothSides"/>
            <wp:docPr id="53"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5" descr=""/>
                    <pic:cNvPicPr>
                      <a:picLocks noChangeAspect="1" noChangeArrowheads="1"/>
                    </pic:cNvPicPr>
                  </pic:nvPicPr>
                  <pic:blipFill>
                    <a:blip r:embed="rId110"/>
                    <a:stretch>
                      <a:fillRect/>
                    </a:stretch>
                  </pic:blipFill>
                  <pic:spPr bwMode="auto">
                    <a:xfrm>
                      <a:off x="0" y="0"/>
                      <a:ext cx="5760720" cy="8068945"/>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45">
            <wp:simplePos x="0" y="0"/>
            <wp:positionH relativeFrom="page">
              <wp:posOffset>1080135</wp:posOffset>
            </wp:positionH>
            <wp:positionV relativeFrom="page">
              <wp:posOffset>955675</wp:posOffset>
            </wp:positionV>
            <wp:extent cx="5760720" cy="8101330"/>
            <wp:effectExtent l="0" t="0" r="0" b="0"/>
            <wp:wrapSquare wrapText="bothSides"/>
            <wp:docPr id="5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7" descr=""/>
                    <pic:cNvPicPr>
                      <a:picLocks noChangeAspect="1" noChangeArrowheads="1"/>
                    </pic:cNvPicPr>
                  </pic:nvPicPr>
                  <pic:blipFill>
                    <a:blip r:embed="rId111"/>
                    <a:stretch>
                      <a:fillRect/>
                    </a:stretch>
                  </pic:blipFill>
                  <pic:spPr bwMode="auto">
                    <a:xfrm>
                      <a:off x="0" y="0"/>
                      <a:ext cx="5760720" cy="8101330"/>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46">
            <wp:simplePos x="0" y="0"/>
            <wp:positionH relativeFrom="page">
              <wp:posOffset>1080135</wp:posOffset>
            </wp:positionH>
            <wp:positionV relativeFrom="page">
              <wp:posOffset>1192530</wp:posOffset>
            </wp:positionV>
            <wp:extent cx="5760720" cy="8078470"/>
            <wp:effectExtent l="0" t="0" r="0" b="0"/>
            <wp:wrapSquare wrapText="bothSides"/>
            <wp:docPr id="55"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9" descr=""/>
                    <pic:cNvPicPr>
                      <a:picLocks noChangeAspect="1" noChangeArrowheads="1"/>
                    </pic:cNvPicPr>
                  </pic:nvPicPr>
                  <pic:blipFill>
                    <a:blip r:embed="rId112"/>
                    <a:stretch>
                      <a:fillRect/>
                    </a:stretch>
                  </pic:blipFill>
                  <pic:spPr bwMode="auto">
                    <a:xfrm>
                      <a:off x="0" y="0"/>
                      <a:ext cx="5760720" cy="8078470"/>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47">
            <wp:simplePos x="0" y="0"/>
            <wp:positionH relativeFrom="page">
              <wp:posOffset>1080135</wp:posOffset>
            </wp:positionH>
            <wp:positionV relativeFrom="page">
              <wp:posOffset>955675</wp:posOffset>
            </wp:positionV>
            <wp:extent cx="5760720" cy="7454900"/>
            <wp:effectExtent l="0" t="0" r="0" b="0"/>
            <wp:wrapSquare wrapText="bothSides"/>
            <wp:docPr id="56" name="Рисунок 737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73728" descr=""/>
                    <pic:cNvPicPr>
                      <a:picLocks noChangeAspect="1" noChangeArrowheads="1"/>
                    </pic:cNvPicPr>
                  </pic:nvPicPr>
                  <pic:blipFill>
                    <a:blip r:embed="rId113"/>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48">
            <wp:simplePos x="0" y="0"/>
            <wp:positionH relativeFrom="page">
              <wp:posOffset>1080135</wp:posOffset>
            </wp:positionH>
            <wp:positionV relativeFrom="page">
              <wp:posOffset>1192530</wp:posOffset>
            </wp:positionV>
            <wp:extent cx="5760720" cy="7454900"/>
            <wp:effectExtent l="0" t="0" r="0" b="0"/>
            <wp:wrapSquare wrapText="bothSides"/>
            <wp:docPr id="57" name="Рисунок 737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3729" descr=""/>
                    <pic:cNvPicPr>
                      <a:picLocks noChangeAspect="1" noChangeArrowheads="1"/>
                    </pic:cNvPicPr>
                  </pic:nvPicPr>
                  <pic:blipFill>
                    <a:blip r:embed="rId114"/>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49">
            <wp:simplePos x="0" y="0"/>
            <wp:positionH relativeFrom="page">
              <wp:posOffset>1080135</wp:posOffset>
            </wp:positionH>
            <wp:positionV relativeFrom="page">
              <wp:posOffset>955675</wp:posOffset>
            </wp:positionV>
            <wp:extent cx="5760720" cy="7454900"/>
            <wp:effectExtent l="0" t="0" r="0" b="0"/>
            <wp:wrapSquare wrapText="bothSides"/>
            <wp:docPr id="58" name="Рисунок 737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3730" descr=""/>
                    <pic:cNvPicPr>
                      <a:picLocks noChangeAspect="1" noChangeArrowheads="1"/>
                    </pic:cNvPicPr>
                  </pic:nvPicPr>
                  <pic:blipFill>
                    <a:blip r:embed="rId115"/>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50">
            <wp:simplePos x="0" y="0"/>
            <wp:positionH relativeFrom="page">
              <wp:posOffset>1080135</wp:posOffset>
            </wp:positionH>
            <wp:positionV relativeFrom="page">
              <wp:posOffset>955675</wp:posOffset>
            </wp:positionV>
            <wp:extent cx="5760720" cy="7454900"/>
            <wp:effectExtent l="0" t="0" r="0" b="0"/>
            <wp:wrapSquare wrapText="bothSides"/>
            <wp:docPr id="59" name="Рисунок 737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3731" descr=""/>
                    <pic:cNvPicPr>
                      <a:picLocks noChangeAspect="1" noChangeArrowheads="1"/>
                    </pic:cNvPicPr>
                  </pic:nvPicPr>
                  <pic:blipFill>
                    <a:blip r:embed="rId116"/>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51">
            <wp:simplePos x="0" y="0"/>
            <wp:positionH relativeFrom="page">
              <wp:posOffset>1080135</wp:posOffset>
            </wp:positionH>
            <wp:positionV relativeFrom="page">
              <wp:posOffset>955675</wp:posOffset>
            </wp:positionV>
            <wp:extent cx="5760720" cy="7454900"/>
            <wp:effectExtent l="0" t="0" r="0" b="0"/>
            <wp:wrapSquare wrapText="bothSides"/>
            <wp:docPr id="60" name="Рисунок 737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73732" descr=""/>
                    <pic:cNvPicPr>
                      <a:picLocks noChangeAspect="1" noChangeArrowheads="1"/>
                    </pic:cNvPicPr>
                  </pic:nvPicPr>
                  <pic:blipFill>
                    <a:blip r:embed="rId117"/>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r>
    </w:p>
    <w:p>
      <w:pPr>
        <w:pStyle w:val="Normal"/>
        <w:ind w:hanging="0"/>
        <w:rPr>
          <w:lang w:val="en-US"/>
        </w:rPr>
      </w:pPr>
      <w:r>
        <w:rPr>
          <w:lang w:val="en-US"/>
        </w:rPr>
        <w:drawing>
          <wp:anchor behindDoc="0" distT="0" distB="0" distL="114300" distR="114300" simplePos="0" locked="0" layoutInCell="0" allowOverlap="1" relativeHeight="52">
            <wp:simplePos x="0" y="0"/>
            <wp:positionH relativeFrom="page">
              <wp:posOffset>1080135</wp:posOffset>
            </wp:positionH>
            <wp:positionV relativeFrom="page">
              <wp:posOffset>955675</wp:posOffset>
            </wp:positionV>
            <wp:extent cx="5760720" cy="7454900"/>
            <wp:effectExtent l="0" t="0" r="0" b="0"/>
            <wp:wrapSquare wrapText="bothSides"/>
            <wp:docPr id="61" name="Рисунок 737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73733" descr=""/>
                    <pic:cNvPicPr>
                      <a:picLocks noChangeAspect="1" noChangeArrowheads="1"/>
                    </pic:cNvPicPr>
                  </pic:nvPicPr>
                  <pic:blipFill>
                    <a:blip r:embed="rId118"/>
                    <a:stretch>
                      <a:fillRect/>
                    </a:stretch>
                  </pic:blipFill>
                  <pic:spPr bwMode="auto">
                    <a:xfrm>
                      <a:off x="0" y="0"/>
                      <a:ext cx="5760720" cy="7454900"/>
                    </a:xfrm>
                    <a:prstGeom prst="rect">
                      <a:avLst/>
                    </a:prstGeom>
                    <a:noFill/>
                  </pic:spPr>
                </pic:pic>
              </a:graphicData>
            </a:graphic>
          </wp:anchor>
        </w:drawing>
      </w:r>
    </w:p>
    <w:p>
      <w:pPr>
        <w:pStyle w:val="Normal"/>
        <w:ind w:hanging="0"/>
        <w:rPr>
          <w:lang w:val="en-US"/>
        </w:rPr>
      </w:pPr>
      <w:r>
        <w:rPr>
          <w:lang w:val="en-US"/>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3">
            <wp:simplePos x="0" y="0"/>
            <wp:positionH relativeFrom="page">
              <wp:posOffset>1080135</wp:posOffset>
            </wp:positionH>
            <wp:positionV relativeFrom="page">
              <wp:posOffset>955675</wp:posOffset>
            </wp:positionV>
            <wp:extent cx="5760720" cy="7454900"/>
            <wp:effectExtent l="0" t="0" r="0" b="0"/>
            <wp:wrapSquare wrapText="bothSides"/>
            <wp:docPr id="62" name="Рисунок 737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73734" descr=""/>
                    <pic:cNvPicPr>
                      <a:picLocks noChangeAspect="1" noChangeArrowheads="1"/>
                    </pic:cNvPicPr>
                  </pic:nvPicPr>
                  <pic:blipFill>
                    <a:blip r:embed="rId119"/>
                    <a:stretch>
                      <a:fillRect/>
                    </a:stretch>
                  </pic:blipFill>
                  <pic:spPr bwMode="auto">
                    <a:xfrm>
                      <a:off x="0" y="0"/>
                      <a:ext cx="5760720" cy="7454900"/>
                    </a:xfrm>
                    <a:prstGeom prst="rect">
                      <a:avLst/>
                    </a:prstGeom>
                    <a:noFill/>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4">
            <wp:simplePos x="0" y="0"/>
            <wp:positionH relativeFrom="page">
              <wp:posOffset>1080135</wp:posOffset>
            </wp:positionH>
            <wp:positionV relativeFrom="page">
              <wp:posOffset>955675</wp:posOffset>
            </wp:positionV>
            <wp:extent cx="5760720" cy="7454900"/>
            <wp:effectExtent l="0" t="0" r="0" b="0"/>
            <wp:wrapSquare wrapText="bothSides"/>
            <wp:docPr id="63" name="Рисунок 737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73735" descr=""/>
                    <pic:cNvPicPr>
                      <a:picLocks noChangeAspect="1" noChangeArrowheads="1"/>
                    </pic:cNvPicPr>
                  </pic:nvPicPr>
                  <pic:blipFill>
                    <a:blip r:embed="rId120"/>
                    <a:stretch>
                      <a:fillRect/>
                    </a:stretch>
                  </pic:blipFill>
                  <pic:spPr bwMode="auto">
                    <a:xfrm>
                      <a:off x="0" y="0"/>
                      <a:ext cx="5760720" cy="7454900"/>
                    </a:xfrm>
                    <a:prstGeom prst="rect">
                      <a:avLst/>
                    </a:prstGeom>
                    <a:noFill/>
                  </pic:spPr>
                </pic:pic>
              </a:graphicData>
            </a:graphic>
          </wp:anchor>
        </w:drawing>
      </w:r>
    </w:p>
    <w:p>
      <w:pPr>
        <w:pStyle w:val="Normal"/>
        <w:ind w:hanging="0"/>
        <w:rPr/>
      </w:pPr>
      <w:r>
        <w:rPr/>
      </w:r>
    </w:p>
    <w:p>
      <w:pPr>
        <w:pStyle w:val="Normal"/>
        <w:ind w:hanging="0"/>
        <w:rPr/>
      </w:pPr>
      <w:r>
        <w:rPr/>
      </w:r>
    </w:p>
    <w:p>
      <w:pPr>
        <w:pStyle w:val="Heading1"/>
        <w:numPr>
          <w:ilvl w:val="0"/>
          <w:numId w:val="0"/>
        </w:numPr>
        <w:ind w:hanging="0" w:left="0"/>
        <w:jc w:val="center"/>
        <w:rPr/>
      </w:pPr>
      <w:bookmarkStart w:id="187" w:name="_Toc132981699"/>
      <w:r>
        <w:rPr/>
        <w:t>Раздел 8. Перспективные топливные балансы</w:t>
      </w:r>
      <w:bookmarkEnd w:id="187"/>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Перспективные топливные балансы источников тепловой энергии по зонам действия приведены в Главе 10 «</w:t>
      </w:r>
      <w:r>
        <w:rPr>
          <w:rFonts w:cs="Arial"/>
          <w:sz w:val="24"/>
          <w:szCs w:val="24"/>
        </w:rPr>
        <w:t xml:space="preserve">Перспективные топливные балансы» Обосновывающих материалов к схеме теплоснабжения муниципального образования «Город Калуга» до 2028 года (шифр 29401.ОМ-ПСТ.010.000). </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В таблице 8.1 представлен суммарный баланс основного топлива по источникам муниципального образования.</w:t>
      </w:r>
    </w:p>
    <w:p>
      <w:pPr>
        <w:pStyle w:val="Normal"/>
        <w:spacing w:lineRule="auto" w:line="360"/>
        <w:rPr>
          <w:sz w:val="24"/>
        </w:rPr>
      </w:pPr>
      <w:r>
        <w:rPr>
          <w:sz w:val="24"/>
        </w:rPr>
        <w:t>Как видно из таблицы 8.1,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 В таблице 8.2 представлен баланс резервного топлива ТЭЦ АО «Квадра» - «Калужская генерация».</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Структура топливопотребления энергоисточниками муниципального образования «Города Калуга» показана на рисунке 8.1.</w:t>
      </w:r>
    </w:p>
    <w:p>
      <w:pPr>
        <w:pStyle w:val="Normal"/>
        <w:spacing w:lineRule="auto" w:line="360"/>
        <w:rPr>
          <w:sz w:val="24"/>
        </w:rPr>
      </w:pPr>
      <w:r>
        <w:rPr>
          <w:sz w:val="24"/>
        </w:rPr>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r>
    </w:p>
    <w:p>
      <w:pPr>
        <w:sectPr>
          <w:headerReference w:type="default" r:id="rId121"/>
          <w:headerReference w:type="first" r:id="rId122"/>
          <w:footerReference w:type="default" r:id="rId123"/>
          <w:footerReference w:type="first" r:id="rId124"/>
          <w:type w:val="nextPage"/>
          <w:pgSz w:w="11906" w:h="16838"/>
          <w:pgMar w:left="1701" w:right="1134" w:gutter="0" w:header="510" w:top="1134" w:footer="692" w:bottom="1134"/>
          <w:pgNumType w:fmt="decimal"/>
          <w:formProt w:val="false"/>
          <w:textDirection w:val="lrTb"/>
          <w:docGrid w:type="default" w:linePitch="360" w:charSpace="0"/>
        </w:sect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Caption"/>
        <w:rPr/>
      </w:pPr>
      <w:bookmarkStart w:id="188" w:name="_Toc132971382"/>
      <w:r>
        <w:rPr/>
        <w:t>Таблица 8.</w:t>
      </w:r>
      <w:r>
        <w:rPr/>
        <w:fldChar w:fldCharType="begin"/>
      </w:r>
      <w:r>
        <w:rPr/>
        <w:instrText xml:space="preserve"> SEQ Таблица \* ARABIC </w:instrText>
      </w:r>
      <w:r>
        <w:rPr/>
        <w:fldChar w:fldCharType="separate"/>
      </w:r>
      <w:r>
        <w:rPr/>
        <w:t>1</w:t>
      </w:r>
      <w:r>
        <w:rPr/>
        <w:fldChar w:fldCharType="end"/>
      </w:r>
      <w:r>
        <w:rPr/>
        <w:t>.  Суммарный баланс основного топлива по источникам муниципального образования «Город Калуга»</w:t>
      </w:r>
      <w:bookmarkEnd w:id="188"/>
    </w:p>
    <w:tbl>
      <w:tblPr>
        <w:tblW w:w="5000" w:type="pct"/>
        <w:jc w:val="left"/>
        <w:tblInd w:w="0" w:type="dxa"/>
        <w:tblLayout w:type="fixed"/>
        <w:tblCellMar>
          <w:top w:w="0" w:type="dxa"/>
          <w:left w:w="28" w:type="dxa"/>
          <w:bottom w:w="0" w:type="dxa"/>
          <w:right w:w="28" w:type="dxa"/>
        </w:tblCellMar>
        <w:tblLook w:firstRow="1" w:noVBand="1" w:lastRow="0" w:firstColumn="1" w:lastColumn="0" w:noHBand="0" w:val="04a0"/>
      </w:tblPr>
      <w:tblGrid>
        <w:gridCol w:w="3135"/>
        <w:gridCol w:w="812"/>
        <w:gridCol w:w="690"/>
        <w:gridCol w:w="684"/>
        <w:gridCol w:w="683"/>
        <w:gridCol w:w="684"/>
        <w:gridCol w:w="680"/>
        <w:gridCol w:w="680"/>
        <w:gridCol w:w="680"/>
        <w:gridCol w:w="681"/>
        <w:gridCol w:w="680"/>
        <w:gridCol w:w="680"/>
        <w:gridCol w:w="682"/>
        <w:gridCol w:w="680"/>
        <w:gridCol w:w="681"/>
        <w:gridCol w:w="680"/>
        <w:gridCol w:w="680"/>
        <w:gridCol w:w="677"/>
      </w:tblGrid>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b/>
                <w:color w:val="000000"/>
                <w:spacing w:val="0"/>
                <w:sz w:val="18"/>
                <w:szCs w:val="16"/>
                <w:lang w:eastAsia="ru-RU"/>
              </w:rPr>
            </w:pPr>
            <w:r>
              <w:rPr>
                <w:rFonts w:eastAsia="Times New Roman" w:ascii="Calibri" w:hAnsi="Calibri"/>
                <w:b/>
                <w:color w:val="000000"/>
                <w:spacing w:val="0"/>
                <w:sz w:val="18"/>
                <w:szCs w:val="16"/>
                <w:lang w:eastAsia="ru-RU"/>
              </w:rPr>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2012</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2013</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2014</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2015</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2019</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2022</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2027</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b/>
                <w:color w:val="000000"/>
                <w:spacing w:val="0"/>
                <w:sz w:val="16"/>
                <w:szCs w:val="16"/>
                <w:lang w:eastAsia="ru-RU"/>
              </w:rPr>
            </w:pPr>
            <w:r>
              <w:rPr>
                <w:rFonts w:eastAsia="Times New Roman" w:cs="Arial"/>
                <w:b/>
                <w:color w:val="000000"/>
                <w:spacing w:val="0"/>
                <w:sz w:val="16"/>
                <w:szCs w:val="16"/>
                <w:lang w:eastAsia="ru-RU"/>
              </w:rPr>
              <w:t>2028</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Выработка тепловой энергии, Гкал</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2467957</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2472613</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2494999</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2539184</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2604471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2816930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2925888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3054726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3204145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3429820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3732643</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4104751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4545988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5056680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5636734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6286107</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7004800</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Выработка электроэнергии, тыс. кВт∙ч</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113090</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125726</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УРУТ на выработку тепловой энергии, кг у.т./Гкал</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УРУТ на выработку электрической энергии, г.у.т./кВт∙ч</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463.2</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459.5</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условного топлива на выработку тепловой энергии, т.у.т.</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416023</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416951</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421438</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429509</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441074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469366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487574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509235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534336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572430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623677</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686812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761320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844997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942009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1050022</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1169051</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условного топлива на выработку электрической энергии, т.у.т.</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52378</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57768</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448845</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455164</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463946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471977</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483503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727057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745266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766926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792028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916805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968052</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1031187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1105695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1193706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1290718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1398731</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1517760</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Калорийный эквивалент, т н.т. (тыс.нм3) / т у.т.</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7726.2</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7721.5</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7726.6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7727.0</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7728.6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7842.9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7840.2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7836.8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7831.7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8248.4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8264.4</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8293.8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8342.4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8405.4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8481.7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8572.0</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8672.3</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натурального топлива, тыс. м3 (т н.т.)</w:t>
            </w:r>
          </w:p>
        </w:tc>
        <w:tc>
          <w:tcPr>
            <w:tcW w:w="8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406658</w:t>
            </w:r>
          </w:p>
        </w:tc>
        <w:tc>
          <w:tcPr>
            <w:tcW w:w="69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412631</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420316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427571</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437919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648919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665403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685034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707920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778049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819943</w:t>
            </w:r>
          </w:p>
        </w:tc>
        <w:tc>
          <w:tcPr>
            <w:tcW w:w="6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870328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927772</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994117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1065238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1142226</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1225093</w:t>
            </w:r>
          </w:p>
        </w:tc>
      </w:tr>
    </w:tbl>
    <w:p>
      <w:pPr>
        <w:pStyle w:val="Normal"/>
        <w:widowControl/>
        <w:spacing w:before="0" w:after="0"/>
        <w:ind w:hanging="0"/>
        <w:jc w:val="left"/>
        <w:textAlignment w:val="auto"/>
        <w:rPr>
          <w:rFonts w:eastAsia="Times New Roman"/>
          <w:kern w:val="2"/>
          <w:sz w:val="24"/>
          <w:lang w:eastAsia="ru-RU"/>
        </w:rPr>
      </w:pPr>
      <w:r>
        <w:rPr>
          <w:rFonts w:eastAsia="Times New Roman"/>
          <w:kern w:val="2"/>
          <w:sz w:val="24"/>
          <w:lang w:eastAsia="ru-RU"/>
        </w:rPr>
      </w:r>
    </w:p>
    <w:p>
      <w:pPr>
        <w:pStyle w:val="Caption"/>
        <w:rPr/>
      </w:pPr>
      <w:bookmarkStart w:id="189" w:name="_Toc132971383"/>
      <w:r>
        <w:rPr/>
        <w:t>Таблица 8.</w:t>
      </w:r>
      <w:r>
        <w:rPr/>
        <w:fldChar w:fldCharType="begin"/>
      </w:r>
      <w:r>
        <w:rPr/>
        <w:instrText xml:space="preserve"> SEQ Таблица \* ARABIC </w:instrText>
      </w:r>
      <w:r>
        <w:rPr/>
        <w:fldChar w:fldCharType="separate"/>
      </w:r>
      <w:r>
        <w:rPr/>
        <w:t>2</w:t>
      </w:r>
      <w:r>
        <w:rPr/>
        <w:fldChar w:fldCharType="end"/>
      </w:r>
      <w:r>
        <w:rPr/>
        <w:t>. Баланс по резервному топливу для ТЭЦ ОАО «Квадра» на перспективу до 2028 года</w:t>
      </w:r>
      <w:bookmarkEnd w:id="18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234"/>
        <w:gridCol w:w="667"/>
        <w:gridCol w:w="683"/>
        <w:gridCol w:w="685"/>
        <w:gridCol w:w="683"/>
        <w:gridCol w:w="684"/>
        <w:gridCol w:w="683"/>
        <w:gridCol w:w="683"/>
        <w:gridCol w:w="683"/>
        <w:gridCol w:w="684"/>
        <w:gridCol w:w="683"/>
        <w:gridCol w:w="685"/>
        <w:gridCol w:w="683"/>
        <w:gridCol w:w="683"/>
        <w:gridCol w:w="685"/>
        <w:gridCol w:w="683"/>
        <w:gridCol w:w="685"/>
        <w:gridCol w:w="693"/>
      </w:tblGrid>
      <w:tr>
        <w:trPr>
          <w:trHeight w:val="300" w:hRule="atLeast"/>
        </w:trPr>
        <w:tc>
          <w:tcPr>
            <w:tcW w:w="32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Показатель</w:t>
            </w:r>
          </w:p>
        </w:tc>
        <w:tc>
          <w:tcPr>
            <w:tcW w:w="66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2012</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2013</w:t>
            </w:r>
          </w:p>
        </w:tc>
        <w:tc>
          <w:tcPr>
            <w:tcW w:w="6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2014</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2015</w:t>
            </w:r>
          </w:p>
        </w:tc>
        <w:tc>
          <w:tcPr>
            <w:tcW w:w="6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2016</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2017</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2018</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2019</w:t>
            </w:r>
          </w:p>
        </w:tc>
        <w:tc>
          <w:tcPr>
            <w:tcW w:w="6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2020</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2021</w:t>
            </w:r>
          </w:p>
        </w:tc>
        <w:tc>
          <w:tcPr>
            <w:tcW w:w="6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2022</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2023</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2024</w:t>
            </w:r>
          </w:p>
        </w:tc>
        <w:tc>
          <w:tcPr>
            <w:tcW w:w="6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2025</w:t>
            </w:r>
          </w:p>
        </w:tc>
        <w:tc>
          <w:tcPr>
            <w:tcW w:w="6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2026</w:t>
            </w:r>
          </w:p>
        </w:tc>
        <w:tc>
          <w:tcPr>
            <w:tcW w:w="6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2027</w:t>
            </w:r>
          </w:p>
        </w:tc>
        <w:tc>
          <w:tcPr>
            <w:tcW w:w="69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18"/>
                <w:szCs w:val="18"/>
                <w:lang w:eastAsia="ru-RU"/>
              </w:rPr>
            </w:pPr>
            <w:r>
              <w:rPr>
                <w:rFonts w:eastAsia="Times New Roman" w:cs="Arial"/>
                <w:b/>
                <w:color w:val="000000"/>
                <w:spacing w:val="0"/>
                <w:sz w:val="18"/>
                <w:szCs w:val="18"/>
                <w:lang w:eastAsia="ru-RU"/>
              </w:rPr>
              <w:t>2028</w:t>
            </w:r>
          </w:p>
        </w:tc>
      </w:tr>
      <w:tr>
        <w:trPr>
          <w:trHeight w:val="300" w:hRule="atLeast"/>
        </w:trPr>
        <w:tc>
          <w:tcPr>
            <w:tcW w:w="14849" w:type="dxa"/>
            <w:gridSpan w:val="18"/>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ТЭЦ-1</w:t>
            </w:r>
          </w:p>
        </w:tc>
      </w:tr>
      <w:tr>
        <w:trPr>
          <w:trHeight w:val="693" w:hRule="atLeast"/>
        </w:trPr>
        <w:tc>
          <w:tcPr>
            <w:tcW w:w="323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Расход условного топлива в режиме «выживания» за 1 сутки, т.у.т/сут</w:t>
            </w:r>
          </w:p>
        </w:tc>
        <w:tc>
          <w:tcPr>
            <w:tcW w:w="66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0,480</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0,481</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0,482</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0,483</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0,484</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0,546</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0,547</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0,548</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0,809</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1,278</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1,393</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1,509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1,625</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1,628</w:t>
            </w:r>
          </w:p>
        </w:tc>
        <w:tc>
          <w:tcPr>
            <w:tcW w:w="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1,631</w:t>
            </w:r>
          </w:p>
        </w:tc>
      </w:tr>
      <w:tr>
        <w:trPr>
          <w:trHeight w:val="300" w:hRule="atLeast"/>
        </w:trPr>
        <w:tc>
          <w:tcPr>
            <w:tcW w:w="323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Теплота сгорания топочного мазута</w:t>
            </w:r>
          </w:p>
        </w:tc>
        <w:tc>
          <w:tcPr>
            <w:tcW w:w="66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r>
      <w:tr>
        <w:trPr>
          <w:trHeight w:val="111" w:hRule="atLeast"/>
        </w:trPr>
        <w:tc>
          <w:tcPr>
            <w:tcW w:w="3234"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Нормативный неснижаемый запас топлива, т.н.т.</w:t>
            </w:r>
          </w:p>
        </w:tc>
        <w:tc>
          <w:tcPr>
            <w:tcW w:w="66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1,73</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2,22</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2,73</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2,98</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3,23</w:t>
            </w:r>
          </w:p>
        </w:tc>
        <w:tc>
          <w:tcPr>
            <w:tcW w:w="68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3,47</w:t>
            </w:r>
          </w:p>
        </w:tc>
        <w:tc>
          <w:tcPr>
            <w:tcW w:w="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3,48</w:t>
            </w:r>
          </w:p>
        </w:tc>
        <w:tc>
          <w:tcPr>
            <w:tcW w:w="69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3,49</w:t>
            </w:r>
          </w:p>
        </w:tc>
      </w:tr>
    </w:tbl>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r>
    </w:p>
    <w:p>
      <w:pPr>
        <w:sectPr>
          <w:headerReference w:type="default" r:id="rId125"/>
          <w:headerReference w:type="first" r:id="rId126"/>
          <w:footerReference w:type="default" r:id="rId127"/>
          <w:footerReference w:type="first" r:id="rId128"/>
          <w:type w:val="nextPage"/>
          <w:pgSz w:orient="landscape" w:w="16838" w:h="11906"/>
          <w:pgMar w:left="1134" w:right="851" w:gutter="0" w:header="510" w:top="810" w:footer="692" w:bottom="1134"/>
          <w:pgNumType w:fmt="decimal"/>
          <w:formProt w:val="false"/>
          <w:textDirection w:val="lrTb"/>
          <w:docGrid w:type="default" w:linePitch="360" w:charSpace="0"/>
        </w:sect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tabs>
          <w:tab w:val="clear" w:pos="709"/>
          <w:tab w:val="left" w:pos="990" w:leader="none"/>
        </w:tabs>
        <w:spacing w:lineRule="auto" w:line="360" w:before="0" w:after="0"/>
        <w:ind w:hanging="0"/>
        <w:textAlignment w:val="auto"/>
        <w:rPr>
          <w:rFonts w:eastAsia="Times New Roman"/>
          <w:kern w:val="2"/>
          <w:sz w:val="24"/>
          <w:lang w:eastAsia="ru-RU"/>
        </w:rPr>
      </w:pPr>
      <w:r>
        <w:rPr/>
        <w:drawing>
          <wp:inline distT="0" distB="0" distL="0" distR="0">
            <wp:extent cx="5734050" cy="3553460"/>
            <wp:effectExtent l="0" t="0" r="0" b="0"/>
            <wp:docPr id="64" name="Рисунок 737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73738" descr=""/>
                    <pic:cNvPicPr>
                      <a:picLocks noChangeAspect="1" noChangeArrowheads="1"/>
                    </pic:cNvPicPr>
                  </pic:nvPicPr>
                  <pic:blipFill>
                    <a:blip r:embed="rId129"/>
                    <a:stretch>
                      <a:fillRect/>
                    </a:stretch>
                  </pic:blipFill>
                  <pic:spPr bwMode="auto">
                    <a:xfrm>
                      <a:off x="0" y="0"/>
                      <a:ext cx="5734050" cy="3553460"/>
                    </a:xfrm>
                    <a:prstGeom prst="rect">
                      <a:avLst/>
                    </a:prstGeom>
                    <a:noFill/>
                  </pic:spPr>
                </pic:pic>
              </a:graphicData>
            </a:graphic>
          </wp:inline>
        </w:drawing>
      </w:r>
    </w:p>
    <w:p>
      <w:pPr>
        <w:pStyle w:val="Normal"/>
        <w:spacing w:before="120" w:after="200"/>
        <w:ind w:hanging="0"/>
        <w:jc w:val="center"/>
        <w:textAlignment w:val="auto"/>
        <w:rPr>
          <w:rFonts w:cs="Arial"/>
          <w:b/>
          <w:bCs/>
          <w:sz w:val="18"/>
          <w:szCs w:val="18"/>
        </w:rPr>
      </w:pPr>
      <w:bookmarkStart w:id="190" w:name="_Toc71274690"/>
      <w:bookmarkStart w:id="191" w:name="_Toc335989299"/>
      <w:r>
        <w:rPr>
          <w:rFonts w:cs="Arial"/>
          <w:b/>
          <w:bCs/>
          <w:sz w:val="18"/>
          <w:szCs w:val="18"/>
        </w:rPr>
        <w:t>Рисунок 8.</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1</w:t>
      </w:r>
      <w:r>
        <w:rPr>
          <w:sz w:val="18"/>
          <w:b/>
          <w:szCs w:val="18"/>
          <w:bCs/>
          <w:rFonts w:cs="Arial"/>
        </w:rPr>
        <w:fldChar w:fldCharType="end"/>
      </w:r>
      <w:r>
        <w:rPr>
          <w:rFonts w:cs="Arial"/>
          <w:b/>
          <w:bCs/>
          <w:sz w:val="18"/>
          <w:szCs w:val="18"/>
        </w:rPr>
        <w:t xml:space="preserve">. </w:t>
      </w:r>
      <w:bookmarkEnd w:id="191"/>
      <w:r>
        <w:rPr>
          <w:rFonts w:cs="Arial"/>
          <w:b/>
          <w:bCs/>
          <w:sz w:val="18"/>
          <w:szCs w:val="18"/>
        </w:rPr>
        <w:t>Структура топливопотребления энергоисточниками муниципального образования               «Город Калуга»</w:t>
      </w:r>
      <w:bookmarkEnd w:id="190"/>
    </w:p>
    <w:p>
      <w:pPr>
        <w:pStyle w:val="Normal"/>
        <w:spacing w:before="120" w:after="200"/>
        <w:ind w:hanging="0"/>
        <w:jc w:val="center"/>
        <w:textAlignment w:val="auto"/>
        <w:rPr>
          <w:rFonts w:cs="Arial"/>
          <w:b/>
          <w:bCs/>
          <w:sz w:val="18"/>
          <w:szCs w:val="18"/>
        </w:rPr>
      </w:pPr>
      <w:r>
        <w:rPr>
          <w:rFonts w:cs="Arial"/>
          <w:b/>
          <w:bCs/>
          <w:sz w:val="18"/>
          <w:szCs w:val="18"/>
        </w:rPr>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Таким образом, при реализации мероприятий в рамках схемы теплоснабжения 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 при этом после реализации мероприятий выработка электроэнергии энергоисточниками МО «Город Калуга» вырастет в 5-5,5 раз.</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Как видно из таблицы 8.1 реализация мероприятий, предусмотренных схемой теплоснабжения, повлечет за собой существенное снижение УРУТа на выработанную тепловую энергию. Кроме того, реализация мероприятий, предложенных в схеме теплоснабжения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 остановит прогнозируемый рост УРУТ на отпущенное тепло, вызванный старением оборудования.</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В целом, структура топливопотребления по видам топлива к 2028 году не изменится и основным топливом для энергоисточников останется природный газ.</w:t>
      </w:r>
    </w:p>
    <w:p>
      <w:pPr>
        <w:pStyle w:val="Heading1"/>
        <w:numPr>
          <w:ilvl w:val="0"/>
          <w:numId w:val="0"/>
        </w:numPr>
        <w:ind w:hanging="0" w:left="0"/>
        <w:jc w:val="center"/>
        <w:rPr/>
      </w:pPr>
      <w:bookmarkStart w:id="192" w:name="_Toc132981700"/>
      <w:bookmarkStart w:id="193" w:name="_Toc333363963"/>
      <w:bookmarkStart w:id="194" w:name="_Toc329034893"/>
      <w:r>
        <w:rPr/>
        <w:t>Раздел 9. Инвестиции в строительство, реконструкцию, техническое перевооружение</w:t>
      </w:r>
      <w:bookmarkEnd w:id="193"/>
      <w:bookmarkEnd w:id="194"/>
      <w:r>
        <w:rPr/>
        <w:t xml:space="preserve"> и модернизацию</w:t>
      </w:r>
      <w:bookmarkEnd w:id="192"/>
    </w:p>
    <w:p>
      <w:pPr>
        <w:pStyle w:val="Normal"/>
        <w:spacing w:lineRule="auto" w:line="360"/>
        <w:rPr>
          <w:sz w:val="24"/>
        </w:rPr>
      </w:pPr>
      <w:r>
        <w:rPr>
          <w:sz w:val="24"/>
        </w:rPr>
      </w:r>
    </w:p>
    <w:p>
      <w:pPr>
        <w:pStyle w:val="Normal"/>
        <w:spacing w:lineRule="auto" w:line="360"/>
        <w:rPr>
          <w:sz w:val="24"/>
        </w:rPr>
      </w:pPr>
      <w:r>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указанных в Обосновывающих материалах к схеме теплоснабжения: в </w:t>
      </w:r>
      <w:r>
        <w:rPr>
          <w:rFonts w:cs="Arial"/>
          <w:sz w:val="24"/>
          <w:szCs w:val="24"/>
        </w:rPr>
        <w:t>Главе 5. «Мастер-план разработки схемы теплоснабжения муниципального образования «Город Калуга» до 2028 года</w:t>
      </w:r>
      <w:r>
        <w:rPr>
          <w:sz w:val="24"/>
        </w:rPr>
        <w:t>» и Главе 7 «Предложения по новому строительству, реконструкции и техническому перевооружению источников тепловой энергии». Предложения по развитию тепловых сетей приведены в Главе 8 Обосновывающих материалов.</w:t>
      </w:r>
    </w:p>
    <w:p>
      <w:pPr>
        <w:pStyle w:val="Normal"/>
        <w:spacing w:lineRule="auto" w:line="360"/>
        <w:rPr>
          <w:sz w:val="24"/>
        </w:rPr>
      </w:pPr>
      <w:r>
        <w:rPr>
          <w:sz w:val="24"/>
        </w:rPr>
        <w:t>Реестр проектов схемы теплоснабжения приведен Главе 16 «Реестр мероприяти</w:t>
        <w:tab/>
        <w:t xml:space="preserve"> схемы теплоснабжения» Обосновывающих материалов.</w:t>
      </w:r>
    </w:p>
    <w:p>
      <w:pPr>
        <w:pStyle w:val="Normal"/>
        <w:spacing w:lineRule="auto" w:line="360"/>
        <w:rPr>
          <w:sz w:val="24"/>
        </w:rPr>
      </w:pPr>
      <w:r>
        <w:rPr>
          <w:sz w:val="24"/>
        </w:rPr>
        <w:t xml:space="preserve">Капитальные вложения в развитие и реконструкцию теплоисточников и тепловых сетей города Калуги представлены в таблице 9.1. </w:t>
      </w:r>
    </w:p>
    <w:p>
      <w:pPr>
        <w:pStyle w:val="Normal"/>
        <w:spacing w:lineRule="auto" w:line="360"/>
        <w:rPr>
          <w:sz w:val="24"/>
        </w:rPr>
      </w:pPr>
      <w:r>
        <w:rPr>
          <w:sz w:val="24"/>
        </w:rPr>
        <w:t xml:space="preserve">Общий объем капитальных вложений в развитие системы теплоснабжения (без учета затрат на реконструкцию тепловых сетей по причине исчерпания эксплуатационного ресурса)  составит 6279,2 млн руб. с учетом НДС в ценах соответствующих лет, из них 4843,5  млн руб. – затраты по источникам и </w:t>
        <w:br/>
        <w:t>1435,8  млн руб. – затраты по сетям. Основные затраты по источникам относятся на группу строительства ГПА (3,106 млрд руб.).</w:t>
      </w:r>
    </w:p>
    <w:p>
      <w:pPr>
        <w:pStyle w:val="Normal"/>
        <w:spacing w:lineRule="auto" w:line="360"/>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 (1,36 млрд руб.), затраты по сетям составят 2,8 млрд руб., а в целом по системам теплоснабжения -  7,64 млрд руб.</w:t>
      </w:r>
    </w:p>
    <w:p>
      <w:pPr>
        <w:pStyle w:val="Normal"/>
        <w:spacing w:lineRule="auto" w:line="360"/>
        <w:rPr>
          <w:rFonts w:cs="Arial"/>
          <w:sz w:val="24"/>
        </w:rPr>
      </w:pPr>
      <w:r>
        <w:rPr>
          <w:sz w:val="24"/>
        </w:rPr>
        <w:t xml:space="preserve"> </w:t>
      </w:r>
    </w:p>
    <w:p>
      <w:pPr>
        <w:pStyle w:val="Normal"/>
        <w:rPr/>
      </w:pPr>
      <w:r>
        <w:rPr/>
      </w:r>
    </w:p>
    <w:p>
      <w:pPr>
        <w:sectPr>
          <w:headerReference w:type="default" r:id="rId130"/>
          <w:headerReference w:type="first" r:id="rId131"/>
          <w:footerReference w:type="even" r:id="rId132"/>
          <w:footerReference w:type="default" r:id="rId133"/>
          <w:footerReference w:type="first" r:id="rId134"/>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ind w:hanging="0"/>
        <w:rPr>
          <w:sz w:val="24"/>
        </w:rPr>
      </w:pPr>
      <w:r>
        <w:rPr>
          <w:sz w:val="24"/>
        </w:rPr>
      </w:r>
    </w:p>
    <w:p>
      <w:pPr>
        <w:pStyle w:val="Normal"/>
        <w:widowControl/>
        <w:tabs>
          <w:tab w:val="clear" w:pos="709"/>
          <w:tab w:val="left" w:pos="990" w:leader="none"/>
        </w:tabs>
        <w:spacing w:before="0" w:after="120"/>
        <w:ind w:hanging="0"/>
        <w:textAlignment w:val="auto"/>
        <w:rPr>
          <w:b/>
          <w:bCs/>
          <w:sz w:val="18"/>
          <w:szCs w:val="18"/>
        </w:rPr>
      </w:pPr>
      <w:bookmarkStart w:id="195" w:name="_Toc132971384"/>
      <w:r>
        <w:rPr>
          <w:b/>
          <w:bCs/>
          <w:sz w:val="18"/>
          <w:szCs w:val="18"/>
        </w:rPr>
        <w:t>Таблица 9.</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1</w:t>
      </w:r>
      <w:r>
        <w:rPr>
          <w:sz w:val="18"/>
          <w:b/>
          <w:szCs w:val="18"/>
          <w:bCs/>
        </w:rPr>
        <w:fldChar w:fldCharType="end"/>
      </w:r>
      <w:r>
        <w:rPr>
          <w:b/>
          <w:bCs/>
          <w:sz w:val="18"/>
          <w:szCs w:val="18"/>
        </w:rPr>
        <w:t xml:space="preserve"> – Капитальные затраты по группам  проектов по развитию системы теплоснабжения (млн. руб. с учетом НДС в ценах соответствующих лет)</w:t>
      </w:r>
      <w:bookmarkEnd w:id="195"/>
    </w:p>
    <w:tbl>
      <w:tblPr>
        <w:tblW w:w="21780" w:type="dxa"/>
        <w:jc w:val="left"/>
        <w:tblInd w:w="103" w:type="dxa"/>
        <w:tblLayout w:type="fixed"/>
        <w:tblCellMar>
          <w:top w:w="0" w:type="dxa"/>
          <w:left w:w="108" w:type="dxa"/>
          <w:bottom w:w="0" w:type="dxa"/>
          <w:right w:w="108" w:type="dxa"/>
        </w:tblCellMar>
        <w:tblLook w:firstRow="1" w:noVBand="1" w:lastRow="0" w:firstColumn="1" w:lastColumn="0" w:noHBand="0" w:val="04a0"/>
      </w:tblPr>
      <w:tblGrid>
        <w:gridCol w:w="5817"/>
        <w:gridCol w:w="1043"/>
        <w:gridCol w:w="1043"/>
        <w:gridCol w:w="1046"/>
        <w:gridCol w:w="1043"/>
        <w:gridCol w:w="1043"/>
        <w:gridCol w:w="1046"/>
        <w:gridCol w:w="1043"/>
        <w:gridCol w:w="1046"/>
        <w:gridCol w:w="1043"/>
        <w:gridCol w:w="1043"/>
        <w:gridCol w:w="1046"/>
        <w:gridCol w:w="1043"/>
        <w:gridCol w:w="1043"/>
        <w:gridCol w:w="1045"/>
        <w:gridCol w:w="1342"/>
      </w:tblGrid>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left"/>
              <w:textAlignment w:val="auto"/>
              <w:rPr>
                <w:rFonts w:eastAsia="Times New Roman" w:cs="Arial"/>
                <w:b/>
                <w:bCs/>
                <w:spacing w:val="0"/>
                <w:sz w:val="18"/>
                <w:szCs w:val="18"/>
                <w:lang w:eastAsia="ru-RU"/>
              </w:rPr>
            </w:pPr>
            <w:r>
              <w:rPr>
                <w:rFonts w:eastAsia="Times New Roman" w:cs="Arial"/>
                <w:b/>
                <w:bCs/>
                <w:spacing w:val="0"/>
                <w:sz w:val="18"/>
                <w:szCs w:val="18"/>
                <w:lang w:eastAsia="ru-RU"/>
              </w:rPr>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2015</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2019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2023</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2026</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2027</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left="-57" w:right="-57"/>
              <w:jc w:val="center"/>
              <w:textAlignment w:val="auto"/>
              <w:rPr>
                <w:rFonts w:eastAsia="Times New Roman" w:cs="Arial"/>
                <w:b/>
                <w:bCs/>
                <w:spacing w:val="0"/>
                <w:sz w:val="18"/>
                <w:szCs w:val="18"/>
                <w:lang w:eastAsia="ru-RU"/>
              </w:rPr>
            </w:pPr>
            <w:r>
              <w:rPr>
                <w:rFonts w:eastAsia="Times New Roman" w:cs="Arial"/>
                <w:b/>
                <w:bCs/>
                <w:spacing w:val="0"/>
                <w:sz w:val="18"/>
                <w:szCs w:val="18"/>
                <w:lang w:eastAsia="ru-RU"/>
              </w:rPr>
              <w:t>Всего</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Капитальные вложения по группам проектов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958,7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1006,8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732,9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766,9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593,3</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599,5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618,4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626,9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643,8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212,9</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216,4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219,5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222,5</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225,5</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7644,0</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left"/>
              <w:rPr>
                <w:rFonts w:cs="Arial"/>
                <w:color w:val="000000"/>
              </w:rPr>
            </w:pPr>
            <w:r>
              <w:rPr>
                <w:rFonts w:cs="Arial"/>
                <w:color w:val="000000"/>
              </w:rPr>
              <w:t>Всего по источникам</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772,2</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812,2</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568,4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590,8</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357,0</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369,1</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381,7</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390,4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399,4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39,2</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39,8</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40,5</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41,1</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41,7</w:t>
            </w:r>
          </w:p>
        </w:tc>
        <w:tc>
          <w:tcPr>
            <w:tcW w:w="1342"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4843,5</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1. Реконструкция источников тепловой энергии (мощности) с увеличением УТМ при объединении зон действия</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40,2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42,2</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29,6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30,7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36,2</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36,8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37,4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38,0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38,6</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329,6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2. Установка ГПА</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494,6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520,3</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364,1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378,4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253,8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262,4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271,3</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277,5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283,9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3106,3</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3. Модернизация и реконструкция теплоисточников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215,2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226,4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158,4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164,6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3,1</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3,2</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780,0</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4. Переоборудование котельной в ЦТП при выводе котельной из эксплуатации</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21,5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22,7</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15,9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16,5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76,6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5. Строительство новых источников тепловой энергии (мощности)</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0,7</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103,2</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106,7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110,4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112,9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115,5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550,9</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left"/>
              <w:rPr>
                <w:rFonts w:cs="Arial"/>
                <w:color w:val="000000"/>
              </w:rPr>
            </w:pPr>
            <w:r>
              <w:rPr>
                <w:rFonts w:cs="Arial"/>
                <w:color w:val="000000"/>
              </w:rPr>
              <w:t>Всего по сетям</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186,5</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194,6</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164,5</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176,1</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236,3</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230,4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236,7</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236,6</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244,4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173,7</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176,6</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179,0</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181,4</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183,8</w:t>
            </w:r>
          </w:p>
        </w:tc>
        <w:tc>
          <w:tcPr>
            <w:tcW w:w="1342"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120" w:after="120"/>
              <w:ind w:hanging="0"/>
              <w:jc w:val="right"/>
              <w:rPr>
                <w:rFonts w:cs="Arial"/>
                <w:color w:val="000000"/>
              </w:rPr>
            </w:pPr>
            <w:r>
              <w:rPr>
                <w:rFonts w:cs="Arial"/>
                <w:color w:val="000000"/>
              </w:rPr>
              <w:t>2800,6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1. Новое строительство для подключения новых потребителей</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71,9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75,1</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52,5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79,0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77,0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79,1</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79,1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81,7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65,8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67,8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68,7</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69,7</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990,8</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2. Новое строительство для объединения котельных</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24,5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25,6</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17,9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19,2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87,2</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3. Реконструкция с увеличением диаметра для подключения новых потребителей</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53,9</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52,5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54,0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55,7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289,6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4. Реконструкция с увеличением диаметра для объединения котельных</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226,9</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5. Реконструкция с увеличением диаметра для нормализации существующих гидравлических режимов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0,1</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29,4</w:t>
            </w:r>
          </w:p>
        </w:tc>
      </w:tr>
      <w:tr>
        <w:trPr>
          <w:trHeight w:val="781"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color w:val="000000"/>
              </w:rPr>
            </w:pPr>
            <w:r>
              <w:rPr>
                <w:rFonts w:cs="Arial"/>
                <w:color w:val="000000"/>
              </w:rPr>
              <w:t>Группа № 6. Новое строительство и реконструкция для обеспечения надежности теплоснабжения</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6,5</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4,9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0,0</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22,1</w:t>
            </w:r>
          </w:p>
        </w:tc>
      </w:tr>
      <w:tr>
        <w:trPr>
          <w:trHeight w:val="781"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spacing w:before="120" w:after="120"/>
              <w:ind w:hanging="0"/>
              <w:jc w:val="left"/>
              <w:rPr>
                <w:rFonts w:cs="Arial"/>
                <w:color w:val="000000"/>
              </w:rPr>
            </w:pPr>
            <w:r>
              <w:rPr>
                <w:rFonts w:cs="Arial"/>
                <w:color w:val="000000"/>
              </w:rPr>
              <w:t>Группа № 7. Реконструкция по причине исчерпания эксплуатационного ресурса</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77,6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81,0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85,0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91,0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98,6</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98,8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98,8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102,0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104,0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105,8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107,3</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108,7</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110,1</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right"/>
              <w:rPr>
                <w:rFonts w:cs="Arial"/>
                <w:color w:val="000000"/>
              </w:rPr>
            </w:pPr>
            <w:r>
              <w:rPr>
                <w:rFonts w:cs="Arial"/>
                <w:color w:val="000000"/>
              </w:rPr>
              <w:t>1364,8</w:t>
            </w:r>
          </w:p>
        </w:tc>
      </w:tr>
    </w:tbl>
    <w:p>
      <w:pPr>
        <w:pStyle w:val="Normal"/>
        <w:widowControl/>
        <w:tabs>
          <w:tab w:val="clear" w:pos="709"/>
          <w:tab w:val="left" w:pos="990" w:leader="none"/>
        </w:tabs>
        <w:spacing w:before="0" w:after="120"/>
        <w:ind w:hanging="0"/>
        <w:textAlignment w:val="auto"/>
        <w:rPr>
          <w:b/>
          <w:bCs/>
          <w:sz w:val="18"/>
          <w:szCs w:val="18"/>
        </w:rPr>
      </w:pPr>
      <w:r>
        <w:rPr>
          <w:b/>
          <w:bCs/>
          <w:sz w:val="18"/>
          <w:szCs w:val="18"/>
        </w:rPr>
      </w:r>
    </w:p>
    <w:p>
      <w:pPr>
        <w:pStyle w:val="Normal"/>
        <w:widowControl/>
        <w:tabs>
          <w:tab w:val="clear" w:pos="709"/>
          <w:tab w:val="left" w:pos="990" w:leader="none"/>
        </w:tabs>
        <w:spacing w:before="0" w:after="120"/>
        <w:ind w:hanging="0"/>
        <w:textAlignment w:val="auto"/>
        <w:rPr>
          <w:b/>
          <w:bCs/>
          <w:sz w:val="18"/>
          <w:szCs w:val="18"/>
        </w:rPr>
      </w:pPr>
      <w:r>
        <w:rPr>
          <w:b/>
          <w:bCs/>
          <w:sz w:val="18"/>
          <w:szCs w:val="18"/>
        </w:rPr>
      </w:r>
    </w:p>
    <w:p>
      <w:pPr>
        <w:sectPr>
          <w:headerReference w:type="default" r:id="rId135"/>
          <w:headerReference w:type="first" r:id="rId136"/>
          <w:footerReference w:type="default" r:id="rId137"/>
          <w:footerReference w:type="first" r:id="rId138"/>
          <w:type w:val="nextPage"/>
          <w:pgSz w:orient="landscape" w:w="23811" w:h="16838"/>
          <w:pgMar w:left="851" w:right="708" w:gutter="0" w:header="510" w:top="993" w:footer="692" w:bottom="2693"/>
          <w:pgNumType w:fmt="decimal"/>
          <w:formProt w:val="false"/>
          <w:textDirection w:val="lrTb"/>
          <w:docGrid w:type="default" w:linePitch="360" w:charSpace="0"/>
        </w:sectPr>
        <w:pStyle w:val="Normal"/>
        <w:spacing w:before="120" w:after="200"/>
        <w:ind w:hanging="0"/>
        <w:jc w:val="center"/>
        <w:rPr>
          <w:b/>
          <w:bCs/>
          <w:sz w:val="18"/>
          <w:szCs w:val="18"/>
        </w:rPr>
      </w:pPr>
      <w:r>
        <w:rPr>
          <w:b/>
          <w:bCs/>
          <w:sz w:val="18"/>
          <w:szCs w:val="18"/>
        </w:rPr>
      </w:r>
    </w:p>
    <w:p>
      <w:pPr>
        <w:pStyle w:val="Heading1"/>
        <w:numPr>
          <w:ilvl w:val="0"/>
          <w:numId w:val="0"/>
        </w:numPr>
        <w:ind w:hanging="0" w:left="0"/>
        <w:jc w:val="center"/>
        <w:rPr/>
      </w:pPr>
      <w:bookmarkStart w:id="196" w:name="_Toc132981701"/>
      <w:r>
        <w:rPr/>
        <w:t>Раздел 10. Решение о присвоении статуса единой теплоснабжающей организации (организациям)</w:t>
      </w:r>
      <w:bookmarkEnd w:id="196"/>
    </w:p>
    <w:p>
      <w:pPr>
        <w:pStyle w:val="Normal"/>
        <w:ind w:hanging="0"/>
        <w:rPr>
          <w:rFonts w:cs="Arial"/>
          <w:b/>
          <w:sz w:val="24"/>
          <w:szCs w:val="24"/>
          <w:lang w:eastAsia="ru-RU"/>
        </w:rPr>
      </w:pPr>
      <w:r>
        <w:rPr>
          <w:rFonts w:cs="Arial"/>
          <w:b/>
          <w:sz w:val="24"/>
          <w:szCs w:val="24"/>
          <w:lang w:eastAsia="ru-RU"/>
        </w:rPr>
      </w:r>
    </w:p>
    <w:p>
      <w:pPr>
        <w:pStyle w:val="Normal"/>
        <w:spacing w:lineRule="auto" w:line="360"/>
        <w:rPr>
          <w:rFonts w:cs="Arial"/>
          <w:sz w:val="24"/>
          <w:szCs w:val="24"/>
          <w:lang w:eastAsia="ru-RU"/>
        </w:rPr>
      </w:pPr>
      <w:r>
        <w:rPr>
          <w:rFonts w:cs="Arial"/>
          <w:sz w:val="24"/>
          <w:szCs w:val="24"/>
          <w:lang w:eastAsia="ru-RU"/>
        </w:rPr>
        <w:t>Реестр границ технологически изолированных зон действия, предлагаемых для установления в них единых теплоснабжающих организаций (ЕТО), приведен в таблице 10.1. Подробное описание зон деятельности приведено в Главе 15 «</w:t>
      </w:r>
      <w:r>
        <w:rPr>
          <w:rFonts w:cs="Arial"/>
          <w:sz w:val="24"/>
          <w:szCs w:val="24"/>
        </w:rPr>
        <w:t>Обоснование предложений по определению единой теплоснабжающей организации» Обосновывающих материалов к схеме теплоснабжения муниципального образования «Город Калуга» до 2028 года (шифр 29401.ОМ-ПСТ.015.000). Границы зон деятельности приведены в Приложении 1 «Графическая часть» Главы 15 (шифр 63401.ОМ-ПСТ.015.000).</w:t>
      </w:r>
    </w:p>
    <w:p>
      <w:pPr>
        <w:pStyle w:val="Normal"/>
        <w:spacing w:lineRule="auto" w:line="360"/>
        <w:rPr>
          <w:rFonts w:cs="Arial"/>
          <w:sz w:val="24"/>
          <w:szCs w:val="24"/>
          <w:lang w:eastAsia="ru-RU"/>
        </w:rPr>
      </w:pPr>
      <w:r>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pPr>
        <w:pStyle w:val="Normal"/>
        <w:spacing w:lineRule="auto" w:line="360"/>
        <w:rPr>
          <w:rFonts w:cs="Arial"/>
          <w:sz w:val="24"/>
          <w:szCs w:val="24"/>
          <w:lang w:eastAsia="ru-RU"/>
        </w:rPr>
      </w:pPr>
      <w:r>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pPr>
        <w:pStyle w:val="Normal"/>
        <w:spacing w:lineRule="auto" w:line="360"/>
        <w:rPr>
          <w:rFonts w:cs="Arial"/>
          <w:sz w:val="24"/>
          <w:szCs w:val="24"/>
        </w:rPr>
      </w:pPr>
      <w:r>
        <w:rPr>
          <w:rFonts w:cs="Arial"/>
          <w:sz w:val="24"/>
          <w:szCs w:val="24"/>
          <w:lang w:eastAsia="ru-RU"/>
        </w:rPr>
        <w:t xml:space="preserve">Обязанности ЕТО определены </w:t>
      </w:r>
      <w:r>
        <w:rPr>
          <w:sz w:val="24"/>
          <w:szCs w:val="28"/>
        </w:rPr>
        <w:t xml:space="preserve">постановлением Правительства РФ </w:t>
      </w:r>
      <w:r>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Normal"/>
        <w:spacing w:lineRule="auto" w:line="360"/>
        <w:rPr>
          <w:rFonts w:cs="Arial"/>
          <w:sz w:val="24"/>
          <w:szCs w:val="24"/>
        </w:rPr>
      </w:pPr>
      <w:r>
        <w:rPr>
          <w:rFonts w:cs="Arial"/>
          <w:sz w:val="24"/>
          <w:szCs w:val="24"/>
        </w:rPr>
        <w:t>Границы зоны деятельности ЕТО в соответствии с п. 19 Правил организации теплоснабжения в Российской Федерации могут быть изменены в следующих случаях:</w:t>
      </w:r>
    </w:p>
    <w:p>
      <w:pPr>
        <w:pStyle w:val="ListParagraph"/>
        <w:numPr>
          <w:ilvl w:val="0"/>
          <w:numId w:val="7"/>
        </w:numPr>
        <w:spacing w:lineRule="auto" w:line="360"/>
        <w:rPr>
          <w:rFonts w:cs="Arial"/>
          <w:sz w:val="24"/>
          <w:szCs w:val="24"/>
        </w:rPr>
      </w:pPr>
      <w:r>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pPr>
        <w:pStyle w:val="ListParagraph"/>
        <w:numPr>
          <w:ilvl w:val="0"/>
          <w:numId w:val="7"/>
        </w:numPr>
        <w:spacing w:lineRule="auto" w:line="360"/>
        <w:rPr>
          <w:rFonts w:cs="Arial"/>
          <w:sz w:val="24"/>
          <w:szCs w:val="24"/>
        </w:rPr>
      </w:pPr>
      <w:r>
        <w:rPr>
          <w:rFonts w:cs="Arial"/>
          <w:sz w:val="24"/>
          <w:szCs w:val="24"/>
        </w:rPr>
        <w:t>технологическое объединение или разделение систем теплоснабжения.</w:t>
      </w:r>
    </w:p>
    <w:p>
      <w:pPr>
        <w:pStyle w:val="Normal"/>
        <w:spacing w:lineRule="auto" w:line="360"/>
        <w:rPr>
          <w:rFonts w:cs="Arial"/>
          <w:sz w:val="24"/>
          <w:szCs w:val="24"/>
        </w:rPr>
      </w:pPr>
      <w:r>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pPr>
        <w:pStyle w:val="Normal"/>
        <w:spacing w:lineRule="auto" w:line="360"/>
        <w:rPr>
          <w:rFonts w:cs="Arial"/>
          <w:sz w:val="24"/>
          <w:szCs w:val="24"/>
          <w:lang w:eastAsia="ru-RU"/>
        </w:rPr>
      </w:pPr>
      <w:r>
        <w:rPr>
          <w:rFonts w:cs="Arial"/>
          <w:sz w:val="24"/>
          <w:szCs w:val="24"/>
          <w:lang w:eastAsia="ru-RU"/>
        </w:rPr>
        <w:t xml:space="preserve">В соответствии с действующим законодательством проект схемы теплоснабжения муниципального образования «Город Калуга» размещено на официальном сайте города. </w:t>
      </w:r>
    </w:p>
    <w:p>
      <w:pPr>
        <w:pStyle w:val="Normal"/>
        <w:spacing w:lineRule="auto" w:line="360"/>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 808  </w:t>
      </w:r>
      <w:r>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Pr/>
        <w:t xml:space="preserve"> </w:t>
      </w:r>
      <w:r>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pPr>
        <w:pStyle w:val="Normal"/>
        <w:spacing w:lineRule="auto" w:line="360"/>
        <w:rPr>
          <w:rFonts w:cs="Arial"/>
          <w:sz w:val="24"/>
          <w:szCs w:val="24"/>
          <w:lang w:eastAsia="ru-RU"/>
        </w:rPr>
      </w:pPr>
      <w:r>
        <w:rPr>
          <w:rFonts w:cs="Arial"/>
          <w:sz w:val="24"/>
          <w:szCs w:val="24"/>
          <w:lang w:eastAsia="ru-RU"/>
        </w:rPr>
        <w:t>Статус единой теплоснабжающей организации присваивается в соответствии с ч. 6 ст. 6 Федерального закона от 27.07.2010 № 190-ФЗ «О теплоснабжении» органом местного самоуправления городского округа при утверждении схемы теплоснабжения.</w:t>
      </w:r>
    </w:p>
    <w:p>
      <w:pPr>
        <w:pStyle w:val="Normal"/>
        <w:spacing w:lineRule="auto" w:line="360"/>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присваивается в соответствии с таблицей 10.2.-10.3</w:t>
      </w:r>
    </w:p>
    <w:p>
      <w:pPr>
        <w:pStyle w:val="Caption"/>
        <w:rPr>
          <w:lang w:val="en-US"/>
        </w:rPr>
      </w:pPr>
      <w:bookmarkStart w:id="197" w:name="_Toc335820643"/>
      <w:bookmarkEnd w:id="197"/>
      <w:r>
        <w:rPr/>
        <w:drawing>
          <wp:inline distT="0" distB="0" distL="0" distR="0">
            <wp:extent cx="5144135" cy="7710805"/>
            <wp:effectExtent l="0" t="0" r="0" b="0"/>
            <wp:docPr id="66"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4" descr=""/>
                    <pic:cNvPicPr>
                      <a:picLocks noChangeAspect="1" noChangeArrowheads="1"/>
                    </pic:cNvPicPr>
                  </pic:nvPicPr>
                  <pic:blipFill>
                    <a:blip r:embed="rId139"/>
                    <a:stretch>
                      <a:fillRect/>
                    </a:stretch>
                  </pic:blipFill>
                  <pic:spPr bwMode="auto">
                    <a:xfrm>
                      <a:off x="0" y="0"/>
                      <a:ext cx="5144135" cy="7710805"/>
                    </a:xfrm>
                    <a:prstGeom prst="rect">
                      <a:avLst/>
                    </a:prstGeom>
                    <a:noFill/>
                  </pic:spPr>
                </pic:pic>
              </a:graphicData>
            </a:graphic>
          </wp:inline>
        </w:drawing>
      </w:r>
    </w:p>
    <w:p>
      <w:pPr>
        <w:pStyle w:val="Normal"/>
        <w:rPr>
          <w:lang w:val="en-US"/>
        </w:rPr>
      </w:pPr>
      <w:r>
        <w:rPr>
          <w:lang w:val="en-US"/>
        </w:rPr>
      </w:r>
    </w:p>
    <w:p>
      <w:pPr>
        <w:pStyle w:val="Normal"/>
        <w:ind w:hanging="0"/>
        <w:rPr>
          <w:lang w:val="en-US" w:eastAsia="ru-RU"/>
        </w:rPr>
      </w:pPr>
      <w:r>
        <w:rPr>
          <w:lang w:val="en-US" w:eastAsia="ru-RU"/>
        </w:rPr>
      </w:r>
    </w:p>
    <w:p>
      <w:pPr>
        <w:pStyle w:val="Normal"/>
        <w:ind w:hanging="0"/>
        <w:rPr/>
      </w:pPr>
      <w:r>
        <w:rPr/>
        <w:drawing>
          <wp:inline distT="0" distB="0" distL="0" distR="0">
            <wp:extent cx="5718175" cy="2197735"/>
            <wp:effectExtent l="0" t="0" r="0" b="0"/>
            <wp:docPr id="67"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26" descr=""/>
                    <pic:cNvPicPr>
                      <a:picLocks noChangeAspect="1" noChangeArrowheads="1"/>
                    </pic:cNvPicPr>
                  </pic:nvPicPr>
                  <pic:blipFill>
                    <a:blip r:embed="rId140"/>
                    <a:srcRect l="3457" t="8378" r="0" b="12311"/>
                    <a:stretch>
                      <a:fillRect/>
                    </a:stretch>
                  </pic:blipFill>
                  <pic:spPr bwMode="auto">
                    <a:xfrm>
                      <a:off x="0" y="0"/>
                      <a:ext cx="5718175" cy="2197735"/>
                    </a:xfrm>
                    <a:prstGeom prst="rect">
                      <a:avLst/>
                    </a:prstGeom>
                    <a:noFill/>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t>Рисунок 10.1. Постановление №277п от 27.07.2022 «О присвоении статуса ЕТО  МУП «Калугатеплосеть», ООО «Энерготранс», АО «КЗТА», ООО «Тепло-сервис»</w:t>
      </w:r>
    </w:p>
    <w:p>
      <w:pPr>
        <w:pStyle w:val="Normal"/>
        <w:ind w:hanging="0"/>
        <w:rPr/>
      </w:pPr>
      <w:r>
        <w:rPr/>
      </w:r>
    </w:p>
    <w:p>
      <w:pPr>
        <w:pStyle w:val="Normal"/>
        <w:ind w:hanging="0"/>
        <w:rPr/>
      </w:pPr>
      <w:r>
        <w:rPr/>
      </w:r>
    </w:p>
    <w:p>
      <w:pPr>
        <w:pStyle w:val="Normal"/>
        <w:ind w:hanging="0"/>
        <w:rPr/>
      </w:pPr>
      <w:r>
        <w:rPr/>
        <w:drawing>
          <wp:inline distT="0" distB="0" distL="0" distR="0">
            <wp:extent cx="5981700" cy="8602345"/>
            <wp:effectExtent l="0" t="0" r="0" b="0"/>
            <wp:docPr id="68" name="Рисунок 737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73743" descr=""/>
                    <pic:cNvPicPr>
                      <a:picLocks noChangeAspect="1" noChangeArrowheads="1"/>
                    </pic:cNvPicPr>
                  </pic:nvPicPr>
                  <pic:blipFill>
                    <a:blip r:embed="rId141"/>
                    <a:stretch>
                      <a:fillRect/>
                    </a:stretch>
                  </pic:blipFill>
                  <pic:spPr bwMode="auto">
                    <a:xfrm>
                      <a:off x="0" y="0"/>
                      <a:ext cx="5981700" cy="8602345"/>
                    </a:xfrm>
                    <a:prstGeom prst="rect">
                      <a:avLst/>
                    </a:prstGeom>
                    <a:noFill/>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t>Рисунок 10.2. Постановление №388п от 28.10.2022 «О лишении статуса ЕТО АО «Калужский завод «Ремпутьмаш»</w:t>
      </w:r>
    </w:p>
    <w:p>
      <w:pPr>
        <w:pStyle w:val="Normal"/>
        <w:ind w:hanging="0"/>
        <w:rPr/>
      </w:pPr>
      <w:r>
        <w:rPr/>
      </w:r>
    </w:p>
    <w:p>
      <w:pPr>
        <w:pStyle w:val="Normal"/>
        <w:ind w:hanging="0"/>
        <w:rPr/>
      </w:pPr>
      <w:r>
        <w:rPr/>
        <w:drawing>
          <wp:inline distT="0" distB="0" distL="0" distR="0">
            <wp:extent cx="5554345" cy="8618220"/>
            <wp:effectExtent l="0" t="0" r="0" b="0"/>
            <wp:docPr id="69" name="Рисунок 737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3757" descr=""/>
                    <pic:cNvPicPr>
                      <a:picLocks noChangeAspect="1" noChangeArrowheads="1"/>
                    </pic:cNvPicPr>
                  </pic:nvPicPr>
                  <pic:blipFill>
                    <a:blip r:embed="rId142"/>
                    <a:stretch>
                      <a:fillRect/>
                    </a:stretch>
                  </pic:blipFill>
                  <pic:spPr bwMode="auto">
                    <a:xfrm>
                      <a:off x="0" y="0"/>
                      <a:ext cx="5554345" cy="8618220"/>
                    </a:xfrm>
                    <a:prstGeom prst="rect">
                      <a:avLst/>
                    </a:prstGeom>
                    <a:noFill/>
                  </pic:spPr>
                </pic:pic>
              </a:graphicData>
            </a:graphic>
          </wp:inline>
        </w:drawing>
      </w:r>
    </w:p>
    <w:p>
      <w:pPr>
        <w:pStyle w:val="Normal"/>
        <w:ind w:hanging="0"/>
        <w:rPr/>
      </w:pPr>
      <w:r>
        <w:rPr/>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rFonts w:eastAsia="Times New Roman" w:ascii="Arial Narrow" w:hAnsi="Arial Narrow"/>
          <w:b/>
          <w:bCs/>
          <w:spacing w:val="0"/>
          <w:sz w:val="20"/>
          <w:szCs w:val="24"/>
          <w:lang w:eastAsia="ru-RU"/>
        </w:rPr>
        <w:t>Рисунок 10.3. Постановление №125п от 06.04.2023 «О лишении статуса ЕТО АО «КЗТА»»</w:t>
      </w:r>
    </w:p>
    <w:p>
      <w:pPr>
        <w:pStyle w:val="Normal"/>
        <w:ind w:hanging="0"/>
        <w:rPr/>
      </w:pPr>
      <w:r>
        <w:rPr/>
      </w:r>
    </w:p>
    <w:p>
      <w:pPr>
        <w:pStyle w:val="Normal"/>
        <w:ind w:hanging="0"/>
        <w:rPr/>
      </w:pPr>
      <w:r>
        <w:rPr/>
      </w:r>
    </w:p>
    <w:p>
      <w:pPr>
        <w:pStyle w:val="Normal"/>
        <w:ind w:hanging="0"/>
        <w:rPr/>
      </w:pPr>
      <w:r>
        <w:rPr/>
        <w:drawing>
          <wp:inline distT="0" distB="0" distL="0" distR="0">
            <wp:extent cx="5760085" cy="8151495"/>
            <wp:effectExtent l="0" t="0" r="0" b="0"/>
            <wp:docPr id="70"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3" descr=""/>
                    <pic:cNvPicPr>
                      <a:picLocks noChangeAspect="1" noChangeArrowheads="1"/>
                    </pic:cNvPicPr>
                  </pic:nvPicPr>
                  <pic:blipFill>
                    <a:blip r:embed="rId143"/>
                    <a:stretch>
                      <a:fillRect/>
                    </a:stretch>
                  </pic:blipFill>
                  <pic:spPr bwMode="auto">
                    <a:xfrm>
                      <a:off x="0" y="0"/>
                      <a:ext cx="5760085" cy="8151495"/>
                    </a:xfrm>
                    <a:prstGeom prst="rect">
                      <a:avLst/>
                    </a:prstGeom>
                    <a:noFill/>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tab/>
      </w:r>
      <w:r>
        <w:rPr>
          <w:rFonts w:eastAsia="Times New Roman" w:ascii="Arial Narrow" w:hAnsi="Arial Narrow"/>
          <w:b/>
          <w:bCs/>
          <w:spacing w:val="0"/>
          <w:sz w:val="20"/>
          <w:szCs w:val="24"/>
          <w:lang w:eastAsia="ru-RU"/>
        </w:rPr>
        <w:t>Рисунок 10.4. Постановление №194п от 06.06.2023 «О присвоении статуса ЕТО АО «Азимут»</w:t>
      </w:r>
    </w:p>
    <w:p>
      <w:pPr>
        <w:pStyle w:val="Normal"/>
        <w:tabs>
          <w:tab w:val="clear" w:pos="709"/>
          <w:tab w:val="left" w:pos="2565" w:leader="none"/>
        </w:tabs>
        <w:rPr/>
      </w:pPr>
      <w:r>
        <w:rPr/>
      </w:r>
    </w:p>
    <w:p>
      <w:pPr>
        <w:pStyle w:val="Normal"/>
        <w:ind w:hanging="0"/>
        <w:rPr/>
      </w:pPr>
      <w:r>
        <w:rPr/>
        <w:drawing>
          <wp:inline distT="0" distB="0" distL="0" distR="0">
            <wp:extent cx="5760085" cy="8151495"/>
            <wp:effectExtent l="0" t="0" r="0" b="0"/>
            <wp:docPr id="71" name="Рисунок 737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3758" descr=""/>
                    <pic:cNvPicPr>
                      <a:picLocks noChangeAspect="1" noChangeArrowheads="1"/>
                    </pic:cNvPicPr>
                  </pic:nvPicPr>
                  <pic:blipFill>
                    <a:blip r:embed="rId144"/>
                    <a:stretch>
                      <a:fillRect/>
                    </a:stretch>
                  </pic:blipFill>
                  <pic:spPr bwMode="auto">
                    <a:xfrm>
                      <a:off x="0" y="0"/>
                      <a:ext cx="5760085" cy="8151495"/>
                    </a:xfrm>
                    <a:prstGeom prst="rect">
                      <a:avLst/>
                    </a:prstGeom>
                    <a:noFill/>
                  </pic:spPr>
                </pic:pic>
              </a:graphicData>
            </a:graphic>
          </wp:inline>
        </w:drawing>
      </w:r>
    </w:p>
    <w:p>
      <w:pPr>
        <w:pStyle w:val="Normal"/>
        <w:ind w:hanging="0"/>
        <w:rPr/>
      </w:pPr>
      <w:r>
        <w:rPr/>
        <w:drawing>
          <wp:inline distT="0" distB="0" distL="0" distR="0">
            <wp:extent cx="5760085" cy="8151495"/>
            <wp:effectExtent l="0" t="0" r="0" b="0"/>
            <wp:docPr id="72" name="Рисунок 737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3759" descr=""/>
                    <pic:cNvPicPr>
                      <a:picLocks noChangeAspect="1" noChangeArrowheads="1"/>
                    </pic:cNvPicPr>
                  </pic:nvPicPr>
                  <pic:blipFill>
                    <a:blip r:embed="rId145"/>
                    <a:stretch>
                      <a:fillRect/>
                    </a:stretch>
                  </pic:blipFill>
                  <pic:spPr bwMode="auto">
                    <a:xfrm>
                      <a:off x="0" y="0"/>
                      <a:ext cx="5760085" cy="8151495"/>
                    </a:xfrm>
                    <a:prstGeom prst="rect">
                      <a:avLst/>
                    </a:prstGeom>
                    <a:noFill/>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tab/>
      </w:r>
      <w:r>
        <w:rPr>
          <w:rFonts w:eastAsia="Times New Roman" w:ascii="Arial Narrow" w:hAnsi="Arial Narrow"/>
          <w:b/>
          <w:bCs/>
          <w:spacing w:val="0"/>
          <w:sz w:val="20"/>
          <w:szCs w:val="24"/>
          <w:lang w:eastAsia="ru-RU"/>
        </w:rPr>
        <w:t>Рисунок 10.5. Постановление №277п от 02.08.2023  «О присвоении статуса ЕТО ООО «ТерраИнвест», ООО «Форик»</w:t>
      </w:r>
    </w:p>
    <w:p>
      <w:pPr>
        <w:pStyle w:val="Normal"/>
        <w:tabs>
          <w:tab w:val="clear" w:pos="709"/>
          <w:tab w:val="left" w:pos="2970" w:leader="none"/>
        </w:tabs>
        <w:rPr/>
      </w:pPr>
      <w:r>
        <w:rPr/>
      </w:r>
    </w:p>
    <w:p>
      <w:pPr>
        <w:pStyle w:val="Normal"/>
        <w:ind w:hanging="0"/>
        <w:rPr/>
      </w:pPr>
      <w:r>
        <w:rPr/>
        <w:drawing>
          <wp:inline distT="0" distB="0" distL="0" distR="0">
            <wp:extent cx="5760085" cy="8151495"/>
            <wp:effectExtent l="0" t="0" r="0" b="0"/>
            <wp:docPr id="73" name="Рисунок 737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766" descr=""/>
                    <pic:cNvPicPr>
                      <a:picLocks noChangeAspect="1" noChangeArrowheads="1"/>
                    </pic:cNvPicPr>
                  </pic:nvPicPr>
                  <pic:blipFill>
                    <a:blip r:embed="rId146"/>
                    <a:stretch>
                      <a:fillRect/>
                    </a:stretch>
                  </pic:blipFill>
                  <pic:spPr bwMode="auto">
                    <a:xfrm>
                      <a:off x="0" y="0"/>
                      <a:ext cx="5760085" cy="8151495"/>
                    </a:xfrm>
                    <a:prstGeom prst="rect">
                      <a:avLst/>
                    </a:prstGeom>
                    <a:noFill/>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tab/>
      </w:r>
      <w:r>
        <w:rPr>
          <w:rFonts w:eastAsia="Times New Roman" w:ascii="Arial Narrow" w:hAnsi="Arial Narrow"/>
          <w:b/>
          <w:bCs/>
          <w:spacing w:val="0"/>
          <w:sz w:val="20"/>
          <w:szCs w:val="24"/>
          <w:lang w:eastAsia="ru-RU"/>
        </w:rPr>
        <w:t>Рисунок 10.6. Постановление №378п от 10.10.2023 «О лишении статуса ЕТО ООО «Аркаим»»</w:t>
      </w:r>
    </w:p>
    <w:p>
      <w:pPr>
        <w:pStyle w:val="Normal"/>
        <w:tabs>
          <w:tab w:val="clear" w:pos="709"/>
          <w:tab w:val="left" w:pos="3405" w:leader="none"/>
        </w:tabs>
        <w:rPr/>
      </w:pPr>
      <w:r>
        <w:rPr/>
      </w:r>
    </w:p>
    <w:p>
      <w:pPr>
        <w:pStyle w:val="Normal"/>
        <w:ind w:hanging="0"/>
        <w:rPr/>
      </w:pPr>
      <w:r>
        <w:rPr/>
        <w:drawing>
          <wp:inline distT="0" distB="0" distL="0" distR="0">
            <wp:extent cx="5760085" cy="8151495"/>
            <wp:effectExtent l="0" t="0" r="0" b="0"/>
            <wp:docPr id="74" name="Рисунок 737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3767" descr=""/>
                    <pic:cNvPicPr>
                      <a:picLocks noChangeAspect="1" noChangeArrowheads="1"/>
                    </pic:cNvPicPr>
                  </pic:nvPicPr>
                  <pic:blipFill>
                    <a:blip r:embed="rId147"/>
                    <a:stretch>
                      <a:fillRect/>
                    </a:stretch>
                  </pic:blipFill>
                  <pic:spPr bwMode="auto">
                    <a:xfrm>
                      <a:off x="0" y="0"/>
                      <a:ext cx="5760085" cy="8151495"/>
                    </a:xfrm>
                    <a:prstGeom prst="rect">
                      <a:avLst/>
                    </a:prstGeom>
                    <a:noFill/>
                  </pic:spPr>
                </pic:pic>
              </a:graphicData>
            </a:graphic>
          </wp:inline>
        </w:drawing>
      </w:r>
    </w:p>
    <w:p>
      <w:pPr>
        <w:pStyle w:val="Normal"/>
        <w:ind w:hanging="0"/>
        <w:rPr/>
      </w:pPr>
      <w:r>
        <w:rPr/>
      </w:r>
    </w:p>
    <w:p>
      <w:pPr>
        <w:pStyle w:val="Normal"/>
        <w:keepNext w:val="true"/>
        <w:widowControl/>
        <w:spacing w:lineRule="auto" w:line="360" w:before="120" w:after="0"/>
        <w:ind w:hanging="0"/>
        <w:textAlignment w:val="auto"/>
        <w:rPr>
          <w:rFonts w:ascii="Arial Narrow" w:hAnsi="Arial Narrow" w:eastAsia="Times New Roman"/>
          <w:b/>
          <w:bCs/>
          <w:spacing w:val="0"/>
          <w:sz w:val="20"/>
          <w:szCs w:val="24"/>
          <w:lang w:eastAsia="ru-RU"/>
        </w:rPr>
      </w:pPr>
      <w:r>
        <w:rPr/>
        <w:tab/>
      </w:r>
      <w:r>
        <w:rPr>
          <w:rFonts w:eastAsia="Times New Roman" w:ascii="Arial Narrow" w:hAnsi="Arial Narrow"/>
          <w:b/>
          <w:bCs/>
          <w:spacing w:val="0"/>
          <w:sz w:val="20"/>
          <w:szCs w:val="24"/>
          <w:lang w:eastAsia="ru-RU"/>
        </w:rPr>
        <w:t>Рисунок 10.7. Постановление №478п от 19.12.2022  «О присвоении статуса ЕТО МУП «Калугатеплосеть»</w:t>
      </w:r>
    </w:p>
    <w:p>
      <w:pPr>
        <w:pStyle w:val="Normal"/>
        <w:ind w:hanging="0"/>
        <w:rPr/>
      </w:pPr>
      <w:r>
        <w:rPr/>
      </w:r>
    </w:p>
    <w:p>
      <w:pPr>
        <w:pStyle w:val="Normal"/>
        <w:ind w:hanging="0"/>
        <w:rPr/>
      </w:pPr>
      <w:r>
        <w:rPr/>
      </w:r>
    </w:p>
    <w:p>
      <w:pPr>
        <w:sectPr>
          <w:headerReference w:type="default" r:id="rId148"/>
          <w:headerReference w:type="first" r:id="rId149"/>
          <w:footerReference w:type="even" r:id="rId150"/>
          <w:footerReference w:type="default" r:id="rId151"/>
          <w:footerReference w:type="first" r:id="rId152"/>
          <w:type w:val="nextPage"/>
          <w:pgSz w:w="11906" w:h="16838"/>
          <w:pgMar w:left="1701" w:right="1134" w:gutter="0" w:header="510" w:top="851" w:footer="691" w:bottom="1134"/>
          <w:pgNumType w:fmt="decimal"/>
          <w:formProt w:val="false"/>
          <w:textDirection w:val="lrTb"/>
          <w:docGrid w:type="default" w:linePitch="360" w:charSpace="0"/>
        </w:sectPr>
        <w:pStyle w:val="Normal"/>
        <w:ind w:hanging="0"/>
        <w:rPr/>
      </w:pPr>
      <w:r>
        <w:rPr/>
      </w:r>
    </w:p>
    <w:p>
      <w:pPr>
        <w:pStyle w:val="Caption"/>
        <w:rPr>
          <w:sz w:val="22"/>
          <w:szCs w:val="22"/>
        </w:rPr>
      </w:pPr>
      <w:bookmarkStart w:id="198" w:name="_Toc335820643"/>
      <w:bookmarkStart w:id="199" w:name="_Toc132971385"/>
      <w:bookmarkEnd w:id="198"/>
      <w:r>
        <w:rPr>
          <w:bCs w:val="false"/>
          <w:sz w:val="22"/>
          <w:szCs w:val="22"/>
        </w:rPr>
        <w:t>Таблица 10.</w:t>
      </w:r>
      <w:r>
        <w:rPr>
          <w:bCs w:val="false"/>
          <w:sz w:val="22"/>
          <w:szCs w:val="22"/>
        </w:rPr>
        <w:fldChar w:fldCharType="begin"/>
      </w:r>
      <w:r>
        <w:rPr>
          <w:sz w:val="22"/>
          <w:szCs w:val="22"/>
          <w:bCs w:val="false"/>
        </w:rPr>
        <w:instrText xml:space="preserve"> SEQ Таблица \* ARABIC </w:instrText>
      </w:r>
      <w:r>
        <w:rPr>
          <w:sz w:val="22"/>
          <w:szCs w:val="22"/>
          <w:bCs w:val="false"/>
        </w:rPr>
        <w:fldChar w:fldCharType="separate"/>
      </w:r>
      <w:r>
        <w:rPr>
          <w:sz w:val="22"/>
          <w:szCs w:val="22"/>
          <w:bCs w:val="false"/>
        </w:rPr>
        <w:t>1</w:t>
      </w:r>
      <w:r>
        <w:rPr>
          <w:sz w:val="22"/>
          <w:szCs w:val="22"/>
          <w:bCs w:val="false"/>
        </w:rPr>
        <w:fldChar w:fldCharType="end"/>
      </w:r>
      <w:r>
        <w:rPr>
          <w:bCs w:val="false"/>
          <w:sz w:val="22"/>
          <w:szCs w:val="22"/>
        </w:rPr>
        <w:t xml:space="preserve"> –</w:t>
      </w:r>
      <w:r>
        <w:rPr>
          <w:b w:val="false"/>
          <w:bCs w:val="false"/>
          <w:sz w:val="18"/>
          <w:szCs w:val="18"/>
        </w:rPr>
        <w:t xml:space="preserve"> </w:t>
      </w:r>
      <w:r>
        <w:rPr>
          <w:sz w:val="22"/>
          <w:szCs w:val="22"/>
        </w:rPr>
        <w:t>Реестр существующих технологически изолированных зон действия для определения единых теплоснабжающих организаций</w:t>
      </w:r>
      <w:bookmarkEnd w:id="199"/>
    </w:p>
    <w:tbl>
      <w:tblPr>
        <w:tblW w:w="14843"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744"/>
        <w:gridCol w:w="9330"/>
        <w:gridCol w:w="3769"/>
      </w:tblGrid>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Код зоны действия</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Существующие теплоснабжающие (теплосетевые) организации в зоне действия</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b/>
                <w:bCs/>
                <w:color w:val="000000"/>
                <w:spacing w:val="0"/>
                <w:sz w:val="24"/>
                <w:szCs w:val="24"/>
                <w:lang w:eastAsia="ru-RU"/>
              </w:rPr>
              <w:t>Энергоисточники в зоне действия</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Вишневского, 3, ул. Вишневского, 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Вишневского, 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с. Сосновый Бор, 10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Беговая, 15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Калуга-бор, 3</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Калуга-Бор, 15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ОЛ «Белка»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Ипподромная, 37</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Московская, 31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Театральная, 4 «г»</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ул.Кропоткина, 4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пер.Воскресенский, 29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Вилонова, 40</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Кутузова, 4а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Подвойского, 7</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Никитина, 95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Тульская, 78 «в»</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2-ой Тульский пер., 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пл. Победы, 9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Кирова, 67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Чижевского, 12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Пролетарская,111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Пестеля, 32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Мичурина, 9 «в»</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Луначарского, 6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Советская, 20 «в»</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Калужская, 6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Гвардейская,15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с. Росва, ул. Московская, 9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Школьная,7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Светлая, 58</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пер. Воскресенский, 2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Московская,14</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ул.В.Восстания,12</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проезд 1-й Академический, 29</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д. Шопино</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65 лет Победы, 51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Тульское шоссе, 28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д. Колюпаново, 15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Одоевское шоссе, 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пос. Ромодановские дворики, 55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Байконурская, 11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Кубяка, 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Энтузиастов, 6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д. Чижовка, мкрн. «Веснушки»</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жд.ст. Тихонова Пустынь, ул. Советская, 3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пос. Муратовский щебзавод, 19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Дорожная, 6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д. Канищево, ул. Нижняя Усадебная, 2</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Московская, 299 «в»</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Московская, 317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д. Канищево, ул. Новая,41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М.Горького,1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Пролетарская, 125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Ф. Энгельса, 13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 Андриановой, 64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 Андриановой, 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Баррикад, 181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Ленина, 60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Ленина, 26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Московская, 115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Новая стройка,1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П.Свободы,131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ул.Широкая,51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Социалистическая, 2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Чичерина, 11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Телевизионная, 2 «д»</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Маяковского, 59</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77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Хрустальная, 18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Маяковского, 35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ул.Тарутинская,171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Тарутинская, 231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Новослободская, 25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Чичерина, 23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Пухова, 5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Шахтеров,3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cs="Arial"/>
                <w:sz w:val="24"/>
                <w:szCs w:val="24"/>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Взлетная, 46</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Дубрава, 14</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82</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Кожедуба, 11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84</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Аэропортовская, в/ч 15506</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Маршала Жукова, 40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Болотникова, 29</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cs="Arial"/>
                <w:sz w:val="24"/>
                <w:szCs w:val="24"/>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88</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22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Дзержинского, 83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пос. Куровское</w:t>
            </w:r>
          </w:p>
        </w:tc>
      </w:tr>
      <w:tr>
        <w:trPr>
          <w:trHeight w:val="9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Привокзальная 4 «а»</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Георгия Амелина 43а</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С. Щедрина, 121</w:t>
            </w:r>
          </w:p>
        </w:tc>
      </w:tr>
      <w:tr>
        <w:trPr>
          <w:trHeight w:val="9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cs="Arial"/>
                <w:sz w:val="24"/>
                <w:szCs w:val="24"/>
              </w:rPr>
            </w:r>
          </w:p>
        </w:tc>
      </w:tr>
      <w:tr>
        <w:trPr>
          <w:trHeight w:val="9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Товарная, 13</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шоссе,в районе дома 35</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Бориса Литвинчука стр4</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174</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 xml:space="preserve">МУП «Калугатеплосеть» </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пер. Маллинники,  21</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Механизаторов, 38</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Азаровская, 13,15</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Дорожная,21</w:t>
            </w:r>
          </w:p>
        </w:tc>
      </w:tr>
      <w:tr>
        <w:trPr>
          <w:trHeight w:val="6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КВАДРА ул. Московская, 286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КТЗ (цех 25) ул.Московская, 241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КТЗ (цех 55) пос. Турынино ул. Турбостроителей, 30</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Кибальчича, 171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шоссе,115</w:t>
            </w:r>
          </w:p>
        </w:tc>
      </w:tr>
      <w:tr>
        <w:trPr>
          <w:trHeight w:val="9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п. Железнодорожников</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1-й Академический проезд, 23</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2-й Академический проезд, 13</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Гурьянова 18к2</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Гурьянова 71»а»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Карла Маркса, д.4</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Кибальчича, 8</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Никитина, д. 39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Ольговская, 19 «а»</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Пушкина, д.19</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Аркаим</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Ромодановские дворики, 61</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124</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cs="Arial"/>
                <w:sz w:val="24"/>
                <w:szCs w:val="24"/>
              </w:rPr>
            </w:pPr>
            <w:r>
              <w:rPr>
                <w:rFonts w:eastAsia="Times New Roman" w:cs="Arial"/>
                <w:color w:val="000000"/>
                <w:spacing w:val="0"/>
                <w:sz w:val="24"/>
                <w:szCs w:val="24"/>
                <w:lang w:eastAsia="ru-RU"/>
              </w:rPr>
              <w:t>ул. Тарутинская, 171 «б»</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Arial" w:cs="Arial"/>
                <w:spacing w:val="0"/>
                <w:sz w:val="24"/>
                <w:szCs w:val="24"/>
                <w:lang w:eastAsia="ru-RU"/>
              </w:rPr>
            </w:pPr>
            <w:r>
              <w:rPr>
                <w:rFonts w:eastAsia="Times New Roman" w:cs="Arial"/>
                <w:spacing w:val="0"/>
                <w:sz w:val="24"/>
                <w:szCs w:val="24"/>
                <w:lang w:eastAsia="ru-RU"/>
              </w:rPr>
              <w:t>Военные городки №№ 1, 2, 3, 56, 56х</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125</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126</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127</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128</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t>Ул. Тульская, 128</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t>АО «Главное управление жилищно-коммунального хозяйства»</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Arial" w:cs="Arial"/>
                <w:spacing w:val="0"/>
                <w:sz w:val="24"/>
                <w:szCs w:val="24"/>
                <w:lang w:eastAsia="ru-RU"/>
              </w:rPr>
            </w:pPr>
            <w:r>
              <w:rPr>
                <w:rFonts w:eastAsia="Times New Roman" w:cs="Arial"/>
                <w:spacing w:val="0"/>
                <w:sz w:val="24"/>
                <w:szCs w:val="24"/>
                <w:lang w:eastAsia="ru-RU"/>
              </w:rPr>
              <w:t>Военные городки №№ 5, 10, 12, 15, 25 и в/ч 86283</w:t>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129</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130</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131</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132</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Дорожная, 25</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133</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Полесская, 3</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134</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Пр. Ю. Круглова, 3</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135</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«ЭНЕРГОТРАНС»</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р-н ул.Анненки</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136</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4"/>
                <w:szCs w:val="24"/>
              </w:rPr>
            </w:pPr>
            <w:r>
              <w:rPr>
                <w:rFonts w:eastAsia="Times New Roman" w:cs="Arial"/>
                <w:color w:val="000000"/>
                <w:spacing w:val="0"/>
                <w:sz w:val="24"/>
                <w:szCs w:val="24"/>
                <w:lang w:eastAsia="ru-RU"/>
              </w:rPr>
              <w:t>АО «Азимут» (Быв.КЗТА)</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Салтыкова- Щедрина, 141</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137</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«Тепло-Сервис»</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Молодежная, 8А</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138</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eastAsia="Times New Roman" w:cs="Arial"/>
                <w:color w:val="000000"/>
                <w:spacing w:val="0"/>
                <w:sz w:val="24"/>
                <w:szCs w:val="24"/>
                <w:lang w:eastAsia="ru-RU"/>
              </w:rPr>
            </w:pPr>
            <w:r>
              <w:rPr>
                <w:rFonts w:cs="Arial"/>
                <w:sz w:val="24"/>
                <w:szCs w:val="24"/>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Грабцевское шоссе, 115 стр21</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139</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Маяковского, 29А</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140</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eastAsia="Times New Roman" w:cs="Arial"/>
                <w:color w:val="000000"/>
                <w:spacing w:val="0"/>
                <w:sz w:val="24"/>
                <w:szCs w:val="24"/>
                <w:lang w:eastAsia="ru-RU"/>
              </w:rPr>
            </w:pPr>
            <w:r>
              <w:rPr>
                <w:rFonts w:cs="Arial"/>
                <w:sz w:val="24"/>
                <w:szCs w:val="24"/>
              </w:rPr>
              <w:t>ООО «ТерраИнвест»</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Пухова, 56</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141</w:t>
            </w:r>
          </w:p>
        </w:tc>
        <w:tc>
          <w:tcPr>
            <w:tcW w:w="9330"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center"/>
              <w:rPr>
                <w:rFonts w:cs="Arial"/>
                <w:sz w:val="24"/>
                <w:szCs w:val="24"/>
              </w:rPr>
            </w:pPr>
            <w:r>
              <w:rPr>
                <w:rFonts w:cs="Arial"/>
                <w:sz w:val="24"/>
                <w:szCs w:val="24"/>
              </w:rPr>
              <w:t>ООО «Форик»</w:t>
            </w:r>
          </w:p>
        </w:tc>
        <w:tc>
          <w:tcPr>
            <w:tcW w:w="376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Кубяка, д.9.к.6</w:t>
            </w:r>
          </w:p>
        </w:tc>
      </w:tr>
      <w:tr>
        <w:trPr>
          <w:trHeight w:val="397" w:hRule="atLeast"/>
        </w:trPr>
        <w:tc>
          <w:tcPr>
            <w:tcW w:w="1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142</w:t>
            </w:r>
          </w:p>
        </w:tc>
        <w:tc>
          <w:tcPr>
            <w:tcW w:w="93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eastAsia="Times New Roman" w:cs="Arial"/>
                <w:color w:val="000000"/>
                <w:spacing w:val="0"/>
                <w:sz w:val="24"/>
                <w:szCs w:val="24"/>
                <w:lang w:eastAsia="ru-RU"/>
              </w:rPr>
            </w:pPr>
            <w:r>
              <w:rPr>
                <w:rFonts w:cs="Arial"/>
                <w:sz w:val="24"/>
                <w:szCs w:val="24"/>
              </w:rPr>
              <w:t>МУП «Калугатеплосеть»</w:t>
            </w:r>
          </w:p>
        </w:tc>
        <w:tc>
          <w:tcPr>
            <w:tcW w:w="37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Ермоловская,96</w:t>
            </w:r>
          </w:p>
        </w:tc>
      </w:tr>
    </w:tbl>
    <w:p>
      <w:pPr>
        <w:pStyle w:val="Normal"/>
        <w:widowControl/>
        <w:spacing w:before="0" w:after="0"/>
        <w:ind w:hanging="0"/>
        <w:jc w:val="left"/>
        <w:textAlignment w:val="auto"/>
        <w:rPr/>
      </w:pPr>
      <w:r>
        <w:rPr/>
      </w:r>
    </w:p>
    <w:p>
      <w:pPr>
        <w:pStyle w:val="Caption"/>
        <w:rPr/>
      </w:pPr>
      <w:bookmarkStart w:id="200" w:name="_Toc132971386"/>
      <w:bookmarkStart w:id="201" w:name="_Toc389549165"/>
      <w:bookmarkStart w:id="202" w:name="_Toc376774205"/>
      <w:r>
        <w:rPr>
          <w:bCs w:val="false"/>
        </w:rPr>
        <w:t>Таблица 10.</w:t>
      </w:r>
      <w:r>
        <w:rPr>
          <w:bCs w:val="false"/>
        </w:rPr>
        <w:fldChar w:fldCharType="begin"/>
      </w:r>
      <w:r>
        <w:rPr>
          <w:bCs w:val="false"/>
        </w:rPr>
        <w:instrText xml:space="preserve"> SEQ Таблица \* ARABIC </w:instrText>
      </w:r>
      <w:r>
        <w:rPr>
          <w:bCs w:val="false"/>
        </w:rPr>
        <w:fldChar w:fldCharType="separate"/>
      </w:r>
      <w:r>
        <w:rPr>
          <w:bCs w:val="false"/>
        </w:rPr>
        <w:t>2</w:t>
      </w:r>
      <w:r>
        <w:rPr>
          <w:bCs w:val="false"/>
        </w:rPr>
        <w:fldChar w:fldCharType="end"/>
      </w:r>
      <w:r>
        <w:rPr>
          <w:bCs w:val="false"/>
        </w:rPr>
        <w:t xml:space="preserve"> – </w:t>
      </w:r>
      <w:r>
        <w:rPr/>
        <w:t>Реестр утверждаемых существующих зон деятельности единых теплоснабжающих организаций</w:t>
      </w:r>
      <w:bookmarkEnd w:id="200"/>
      <w:bookmarkEnd w:id="201"/>
      <w:bookmarkEnd w:id="202"/>
    </w:p>
    <w:p>
      <w:pPr>
        <w:pStyle w:val="Normal"/>
        <w:widowControl/>
        <w:tabs>
          <w:tab w:val="clear" w:pos="709"/>
          <w:tab w:val="left" w:pos="990" w:leader="none"/>
        </w:tabs>
        <w:spacing w:before="0" w:after="120"/>
        <w:ind w:hanging="0"/>
        <w:textAlignment w:val="auto"/>
        <w:rPr>
          <w:b/>
          <w:bCs/>
          <w:sz w:val="18"/>
          <w:szCs w:val="18"/>
        </w:rPr>
      </w:pPr>
      <w:r>
        <w:rPr>
          <w:b/>
          <w:bCs/>
          <w:sz w:val="18"/>
          <w:szCs w:val="18"/>
        </w:rPr>
      </w:r>
    </w:p>
    <w:tbl>
      <w:tblPr>
        <w:tblW w:w="14553" w:type="dxa"/>
        <w:jc w:val="left"/>
        <w:tblInd w:w="0" w:type="dxa"/>
        <w:tblLayout w:type="fixed"/>
        <w:tblCellMar>
          <w:top w:w="0" w:type="dxa"/>
          <w:left w:w="108" w:type="dxa"/>
          <w:bottom w:w="0" w:type="dxa"/>
          <w:right w:w="108" w:type="dxa"/>
        </w:tblCellMar>
        <w:tblLook w:firstRow="0" w:noVBand="0" w:lastRow="0" w:firstColumn="0" w:lastColumn="0" w:noHBand="0" w:val="0000"/>
      </w:tblPr>
      <w:tblGrid>
        <w:gridCol w:w="1149"/>
        <w:gridCol w:w="3401"/>
        <w:gridCol w:w="3355"/>
        <w:gridCol w:w="3593"/>
        <w:gridCol w:w="3055"/>
      </w:tblGrid>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Код зоны действия</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Существующие теплоснабжающие (теплосетевые) организации в зоне действия</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Энергоисточники в зоне действия</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Основание для присвоения статуса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Единая теплоснабжающая организация</w:t>
            </w:r>
          </w:p>
        </w:tc>
      </w:tr>
      <w:tr>
        <w:trPr>
          <w:trHeight w:val="40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ул.Вишневского, 3</w:t>
            </w:r>
          </w:p>
          <w:p>
            <w:pPr>
              <w:pStyle w:val="Normal"/>
              <w:spacing w:before="120" w:after="120"/>
              <w:jc w:val="left"/>
              <w:rPr>
                <w:rFonts w:cs="Arial"/>
                <w:sz w:val="24"/>
                <w:szCs w:val="24"/>
              </w:rPr>
            </w:pPr>
            <w:r>
              <w:rPr>
                <w:rFonts w:cs="Arial"/>
                <w:sz w:val="24"/>
                <w:szCs w:val="24"/>
              </w:rPr>
              <w:t>ул.Вишневского, 3а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ул.Вишневского, 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с.Сосновый Бор, 10а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Беговая, 15</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ул.Калуга-бор, 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ул.Калуга-Бор, 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ОЛ «Белка»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ул.Ипподромная, 37</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ул.Московская, 31а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ул.Театральная, 4г</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ул.Кропоткина, 4а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пер.Воскресенский, 29б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ул.Вилонова, 40</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ул.Кутузова, 4а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ул.Подвойского, 7</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ул.Никитина, 95б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 Тульская, 78в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2-ой Тульский пер.,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пл.Победы, 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Кирова, 67а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21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ул.Чижевского, 12а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ул.Пролетарская,111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23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ул.Пестеля, 32б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ул.Мичурина, 9в</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25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ул.Луначарского,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ул.Советская, 20в</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27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ул.Калужка,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28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ул.Гвардейская, 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29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с.Росва, ул.Московская, 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30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ул.Школьная, 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ул.Светлая, 58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32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пер.Воскресенский, 2б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ул.Московская, 14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34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ул.В.Восстания, 12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проезд 1-й Академический, 29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36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д.Шопино</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ул.65 лет Победы, 51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38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Тульское шоссе, 28а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39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д.Колюпаново, 15а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ул.Одоевское шоссе,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41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пос.Ромодановские дворики, 55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ул.Байконурская, 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43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ул.Кубяка, 3а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Энтузиастов, 6б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45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д.Лихун, п.Молодежный, ул.Губернская, 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д. Чижовка, мкрн. «Веснушки». «Веснушки»</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47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жд.ст.Тихонова Пустынь, ул.Советская, 3б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48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пос.Муратовский щебзавод, 19а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49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ул.Дорожная,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50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д.Канищево, ул.Нижняя Усадебная, 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ул.Московская, 299 «в»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52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ул.Московская, 317а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д.Канищево, ул.Новая, 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54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ул.М.Горького, 1б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ул.Пролетарская, 125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56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ул.Ф.Энгельса, 13а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 В.Андриановой, 64а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58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ул.В.Андриановой,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59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ул.Баррикад, 181а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ул.Ленина, 60а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61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ул.Ленина, 26а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ул.Московская, 115а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63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 Новая стройка, 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ул.П.Свободы, 131а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65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ул.Широкая, 51б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ул.Социалистическая, 2а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67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ул.Чичерина, 11а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68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ул.Телевизионная, 2д</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69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ул.Маяковского, 59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70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Грабцевское шоссе,  77а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ул.Хрустальная, 18а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72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Маяковского, 35</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ул.Тарутинская, 171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74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ул.Тарутинская, 231а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ул.Новослободская, 25а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76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ул.Чичерина, 23а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г.Калуги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ул.Пухова, 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78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ул.Шахтеров, 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79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ул.Взлетная, 46</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81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ул.Дубрава, 14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83</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ул.Кожедуба, 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84</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ул.Аэропортовская, в/ч 15506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Маршала Жукова, 40а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86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ул.Болотникова, 29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88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Грабцевское шоссе, 22б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89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90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ул.Дзержинского, 83а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пос.Куровское</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74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92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ул.Привокзальная 4а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«Сетевая компания»</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Кошелев проект</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«Сетевая компания»</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94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«Калужский Электромеханический Завод»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ул.С. Щедрина, 121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ОАО «Калужский Электромеханический Завод»</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«Калужский Электромеханический Завод»</w:t>
            </w:r>
          </w:p>
        </w:tc>
      </w:tr>
      <w:tr>
        <w:trPr>
          <w:trHeight w:val="20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r>
          </w:p>
        </w:tc>
      </w:tr>
      <w:tr>
        <w:trPr>
          <w:trHeight w:val="171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96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ул.Товарная, 13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Грабцевское шоссе, 35</w:t>
            </w:r>
            <w:r>
              <w:rPr>
                <w:rFonts w:cs="Arial"/>
                <w:sz w:val="24"/>
                <w:szCs w:val="24"/>
                <w:lang w:val="en-US"/>
              </w:rPr>
              <w:t>Д</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98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Сетевые компании»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Бориса Литвинчука стр.4</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«ООО Сетевые компании»</w:t>
            </w:r>
          </w:p>
        </w:tc>
      </w:tr>
      <w:tr>
        <w:trPr>
          <w:trHeight w:val="114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99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ОАО «НПП» Калужский приборостроительный завод «Тайфун»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Грабцевское шоссе, 174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ОАО «НПП» Калужский приборостроительный завод «Тайфун»</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 xml:space="preserve"> </w:t>
            </w:r>
            <w:r>
              <w:rPr>
                <w:rFonts w:cs="Arial"/>
                <w:sz w:val="24"/>
                <w:szCs w:val="24"/>
              </w:rPr>
              <w:t xml:space="preserve">МУП «Калугатеплосеть» г.Калуги </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пер.Маллинники,  21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101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ОАО «Калугатехремонт»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ул.Механизаторов, 38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ОАО «Калугатехремонт»</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ул.Азаровская, 13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103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ул.Дорожная,21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114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Филиал ПАО «Квадра» - «Центральная генерация» Производственное подразделение «Калужская ТЭЦ»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КВАДРА ул.Московская, 286а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Филиал ПАО «КВАДРА»</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105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ОАО «Калужский турбинный завод»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КТЗ (цех 25) ул.Московская, 241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ОАО «Калужский турбинный завод»</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ОАО «Калужский турбинный завод»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КТЗ (цех 55) пос.Турынино ул.Турбостроителей, 30</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«Калужский турбинный завод»</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107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ул.Кибальчича, 17а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109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Инфекционная больница Грабцевское шоссе</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110</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п.Железнодорожников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trPr>
          <w:trHeight w:val="341"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111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«Элмат»</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1-й Академический проезд, 23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«Элмат»</w:t>
            </w:r>
          </w:p>
        </w:tc>
      </w:tr>
      <w:tr>
        <w:trPr>
          <w:trHeight w:val="11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112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ОАО «Элмат»</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2-й Академический проезд, 13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ОАО «Элмат»</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114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ул.Гурьянова, 18, к.2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115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116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ул.Гурьянова, 71а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117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«КНИИТМУ»</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ул.Карла Маркса, 4</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«КНИИТМУ»</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118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«Дом»</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ул.Кибальчича, 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«Дом»</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119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«КП«Сигнал»</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ул.Никитина, д. 39а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«КП«Сигнал»</w:t>
            </w:r>
          </w:p>
        </w:tc>
      </w:tr>
      <w:tr>
        <w:trPr>
          <w:trHeight w:val="756"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121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ул.Ольговская, 19а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«КНИИТМУ»</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ул.Пушкина, 19</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«КНИИТМУ»</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123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«Аркаим»</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ул.Ромодановские дворики, 61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ООО «Аркаим»</w:t>
            </w:r>
          </w:p>
        </w:tc>
      </w:tr>
      <w:tr>
        <w:trPr>
          <w:trHeight w:val="889"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«Калужская обувная фабрика «Калита»</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ул.Тарутинская, 171б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ОАО «Калужская обувная фабрика «Калита»</w:t>
            </w:r>
          </w:p>
        </w:tc>
      </w:tr>
      <w:tr>
        <w:trPr>
          <w:trHeight w:val="15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ГБУ «Центральное жилищно-коммунальное управление» Министерства обороны РФ</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Военные городки № 1, 2, 3, 56, 56х</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ГБУ «Центральное жилищно-коммунальное управление» Министерства обороны РФ</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АО «Главное управление жилищно-коммунального хозяйства»</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Военные городки № 5, 10, 12, 15, 25 и в/ч 86283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АО «Главное управление жилищно-коммунального хозяйства»</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Тульская, 128</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129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132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Ул. Дорожная, 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133</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Полесская, 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134</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Пр. Ю. Круглова, 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МУП «Калугатеплосеть»</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«ЭНЕРГОТРАНС»</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р-н ул.Анненки</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«ЭНЕРГОТРАНС»</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136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eastAsia="Times New Roman" w:cs="Arial"/>
                <w:color w:val="000000"/>
                <w:spacing w:val="0"/>
                <w:sz w:val="24"/>
                <w:szCs w:val="24"/>
                <w:lang w:eastAsia="ru-RU"/>
              </w:rPr>
              <w:t>АО «Азимут» (быв. КЗТА)</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eastAsia="Times New Roman" w:cs="Arial"/>
                <w:color w:val="000000"/>
                <w:spacing w:val="0"/>
                <w:sz w:val="24"/>
                <w:szCs w:val="24"/>
                <w:lang w:eastAsia="ru-RU"/>
              </w:rPr>
              <w:t>Ул. Салтыкова- Щедрина, 141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 w:val="24"/>
                <w:szCs w:val="24"/>
              </w:rPr>
            </w:pPr>
            <w:r>
              <w:rPr>
                <w:rFonts w:eastAsia="Times New Roman" w:cs="Arial"/>
                <w:color w:val="000000"/>
                <w:spacing w:val="0"/>
                <w:sz w:val="24"/>
                <w:szCs w:val="24"/>
                <w:lang w:eastAsia="ru-RU"/>
              </w:rPr>
              <w:t>АО «Калужский завод телеграфной аппаратуры» (АО «Азимут»)</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«Тепло-Сервис»</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Ул. Молодежная, 8А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t>ООО «Тепло-Сервис»</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138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Ул. Грабцевское шоссе, 115 стр21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139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Ул. Маяковского, 29А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источником тепловой энергии и тепловыми сетями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 w:val="24"/>
                <w:szCs w:val="24"/>
              </w:rPr>
            </w:pPr>
            <w:r>
              <w:rPr>
                <w:rFonts w:cs="Arial"/>
                <w:sz w:val="24"/>
                <w:szCs w:val="24"/>
              </w:rPr>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jc w:val="left"/>
              <w:rPr>
                <w:rFonts w:cs="Arial"/>
                <w:szCs w:val="24"/>
              </w:rPr>
            </w:pPr>
            <w:r>
              <w:rPr>
                <w:rFonts w:cs="Arial"/>
                <w:szCs w:val="24"/>
              </w:rPr>
              <w:t>140</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ООО «ТерраИнвест»</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Ул. Пухова, 56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ООО «ТерраИнвест»</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left"/>
              <w:rPr>
                <w:rFonts w:cs="Arial"/>
                <w:szCs w:val="24"/>
              </w:rPr>
            </w:pPr>
            <w:r>
              <w:rPr>
                <w:rFonts w:cs="Arial"/>
                <w:szCs w:val="24"/>
              </w:rPr>
              <w:t>141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ООО «ПрофИнжиниринг»</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Ул. Кубяка, д.9.к.6</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left"/>
              <w:rPr>
                <w:rFonts w:cs="Arial"/>
                <w:sz w:val="24"/>
                <w:szCs w:val="24"/>
              </w:rPr>
            </w:pPr>
            <w:r>
              <w:rPr>
                <w:rFonts w:cs="Arial"/>
                <w:sz w:val="24"/>
                <w:szCs w:val="24"/>
              </w:rPr>
              <w:t>ООО «Форик»</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right"/>
              <w:rPr>
                <w:rFonts w:cs="Arial"/>
                <w:sz w:val="24"/>
                <w:szCs w:val="24"/>
              </w:rPr>
            </w:pPr>
            <w:r>
              <w:rPr>
                <w:rFonts w:cs="Arial"/>
                <w:sz w:val="24"/>
                <w:szCs w:val="24"/>
              </w:rPr>
              <w:t>142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Ул. Ермоловская, 96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spacing w:before="120" w:after="120"/>
              <w:ind w:hanging="0"/>
              <w:jc w:val="left"/>
              <w:rPr>
                <w:rFonts w:cs="Arial"/>
                <w:sz w:val="24"/>
                <w:szCs w:val="24"/>
              </w:rPr>
            </w:pPr>
            <w:r>
              <w:rPr>
                <w:rFonts w:cs="Arial"/>
                <w:sz w:val="24"/>
                <w:szCs w:val="24"/>
              </w:rPr>
              <w:t>МУП «Калугатеплосеть»</w:t>
            </w:r>
          </w:p>
        </w:tc>
      </w:tr>
    </w:tbl>
    <w:p>
      <w:pPr>
        <w:sectPr>
          <w:headerReference w:type="default" r:id="rId153"/>
          <w:headerReference w:type="first" r:id="rId154"/>
          <w:footerReference w:type="default" r:id="rId155"/>
          <w:footerReference w:type="first" r:id="rId156"/>
          <w:type w:val="nextPage"/>
          <w:pgSz w:orient="landscape" w:w="16838" w:h="11906"/>
          <w:pgMar w:left="851" w:right="1134" w:gutter="0" w:header="510" w:top="844" w:footer="692" w:bottom="1701"/>
          <w:pgNumType w:fmt="decimal"/>
          <w:formProt w:val="false"/>
          <w:textDirection w:val="lrTb"/>
          <w:docGrid w:type="default" w:linePitch="360" w:charSpace="0"/>
        </w:sectPr>
      </w:pPr>
    </w:p>
    <w:p>
      <w:pPr>
        <w:pStyle w:val="Heading1"/>
        <w:numPr>
          <w:ilvl w:val="0"/>
          <w:numId w:val="0"/>
        </w:numPr>
        <w:ind w:hanging="0" w:left="0"/>
        <w:jc w:val="center"/>
        <w:rPr/>
      </w:pPr>
      <w:bookmarkStart w:id="203" w:name="_Toc132981702"/>
      <w:r>
        <w:rPr/>
        <w:t>Раздел 11.  Решения о распределении тепловой нагрузки между источниками тепловой энергии</w:t>
      </w:r>
      <w:bookmarkEnd w:id="203"/>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ListParagraph"/>
        <w:tabs>
          <w:tab w:val="clear" w:pos="709"/>
          <w:tab w:val="left" w:pos="851" w:leader="none"/>
          <w:tab w:val="left" w:pos="1134" w:leader="none"/>
        </w:tabs>
        <w:spacing w:lineRule="auto" w:line="360"/>
        <w:ind w:firstLine="709" w:left="0"/>
        <w:rPr>
          <w:rFonts w:cs="Arial"/>
          <w:sz w:val="24"/>
          <w:szCs w:val="24"/>
        </w:rPr>
      </w:pPr>
      <w:r>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 в соответствии с таблицей 11.1.</w:t>
      </w:r>
    </w:p>
    <w:p>
      <w:pPr>
        <w:pStyle w:val="Normal"/>
        <w:widowControl/>
        <w:tabs>
          <w:tab w:val="clear" w:pos="709"/>
          <w:tab w:val="left" w:pos="990" w:leader="none"/>
        </w:tabs>
        <w:spacing w:before="0" w:after="120"/>
        <w:ind w:hanging="0"/>
        <w:textAlignment w:val="auto"/>
        <w:rPr>
          <w:b/>
          <w:bCs/>
          <w:sz w:val="18"/>
          <w:szCs w:val="18"/>
        </w:rPr>
      </w:pPr>
      <w:r>
        <w:rPr>
          <w:b/>
          <w:bCs/>
          <w:sz w:val="18"/>
          <w:szCs w:val="18"/>
        </w:rPr>
        <w:t>Таблица 11.1. Список предлагаемого переключения тепловой нагрузки между источниками теплоснабжения</w:t>
      </w:r>
    </w:p>
    <w:tbl>
      <w:tblPr>
        <w:tblW w:w="9048" w:type="dxa"/>
        <w:jc w:val="left"/>
        <w:tblInd w:w="103" w:type="dxa"/>
        <w:tblLayout w:type="fixed"/>
        <w:tblCellMar>
          <w:top w:w="0" w:type="dxa"/>
          <w:left w:w="108" w:type="dxa"/>
          <w:bottom w:w="0" w:type="dxa"/>
          <w:right w:w="108" w:type="dxa"/>
        </w:tblCellMar>
        <w:tblLook w:firstRow="1" w:noVBand="1" w:lastRow="0" w:firstColumn="1" w:lastColumn="0" w:noHBand="0" w:val="04a0"/>
      </w:tblPr>
      <w:tblGrid>
        <w:gridCol w:w="4115"/>
        <w:gridCol w:w="2553"/>
        <w:gridCol w:w="2380"/>
      </w:tblGrid>
      <w:tr>
        <w:trPr>
          <w:trHeight w:val="300" w:hRule="atLeast"/>
        </w:trPr>
        <w:tc>
          <w:tcPr>
            <w:tcW w:w="4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Базовый источник</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Вывод из эксплуатации</w:t>
            </w:r>
          </w:p>
        </w:tc>
        <w:tc>
          <w:tcPr>
            <w:tcW w:w="238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Год перевода</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ул.Дорожная, 6а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ул.Тепличная, 22</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 xml:space="preserve">Реконстрируемая котельная </w:t>
            </w:r>
          </w:p>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ул.Кибальчича, 17а</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ул.Кубяка, 3а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 ,4г</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ул.Хрустальная, 18а</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ул.М.Горького, 1б</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ул.Кирова, 67а</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ул.Чижевского,12а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ул.Пестеля, 32б</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ул.Пролетарская, 125</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ул.В.Андриановой, 5а</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3а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eastAsia="ru-RU"/>
              </w:rPr>
              <w:t>Малинники, 21</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ул.Грабцевское шоссе, 31</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ул.Ленина, 23</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22б</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35</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Переключение на ТЭЦ Квадра</w:t>
            </w:r>
          </w:p>
        </w:tc>
        <w:tc>
          <w:tcPr>
            <w:tcW w:w="25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59а</w:t>
            </w:r>
          </w:p>
        </w:tc>
        <w:tc>
          <w:tcPr>
            <w:tcW w:w="23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bl>
    <w:p>
      <w:pPr>
        <w:pStyle w:val="Normal"/>
        <w:spacing w:lineRule="auto" w:line="360"/>
        <w:rPr>
          <w:rFonts w:cs="Arial"/>
          <w:sz w:val="24"/>
          <w:szCs w:val="24"/>
        </w:rPr>
      </w:pPr>
      <w:r>
        <w:rPr>
          <w:rFonts w:cs="Arial"/>
          <w:sz w:val="24"/>
          <w:szCs w:val="24"/>
        </w:rPr>
        <w:t>На рисунках 11.1 – 11.5 представлено распределение тепловой нагрузки между теплоснабжающими организациями МО «Город Калуга» на период с 2012 по 2025 годы. Перспективная тепловая нагрузка на каждый период складывалась из фактической тепловой нагрузки на источнике тепловой энергии в базовом 2012 году и прогнозного прироста тепловой нагрузки в зоне действия этого энергоисточника.</w:t>
      </w:r>
    </w:p>
    <w:p>
      <w:pPr>
        <w:pStyle w:val="Normal"/>
        <w:spacing w:lineRule="auto" w:line="360"/>
        <w:rPr>
          <w:rFonts w:cs="Arial"/>
          <w:sz w:val="24"/>
          <w:szCs w:val="24"/>
        </w:rPr>
      </w:pPr>
      <w:r>
        <w:rPr>
          <w:rFonts w:cs="Arial"/>
          <w:sz w:val="24"/>
          <w:szCs w:val="24"/>
        </w:rPr>
        <w:t>В целом предлагаемое к реализации распределение тепловой нагрузки предполагает во всем рассматриваемом периоде максимальную загрузку наиболее эффективных из существующих источников тепловой энергии.</w:t>
      </w:r>
    </w:p>
    <w:p>
      <w:pPr>
        <w:pStyle w:val="Normal"/>
        <w:ind w:hanging="0"/>
        <w:jc w:val="center"/>
        <w:rPr/>
      </w:pPr>
      <w:r>
        <w:rPr/>
      </w:r>
    </w:p>
    <w:p>
      <w:pPr>
        <w:pStyle w:val="Normal"/>
        <w:spacing w:before="120" w:after="200"/>
        <w:ind w:hanging="0"/>
        <w:jc w:val="center"/>
        <w:textAlignment w:val="auto"/>
        <w:rPr>
          <w:rFonts w:cs="Arial"/>
          <w:b/>
          <w:bCs/>
          <w:sz w:val="18"/>
          <w:szCs w:val="18"/>
        </w:rPr>
      </w:pPr>
      <w:bookmarkStart w:id="204" w:name="_Toc71274691"/>
      <w:r>
        <w:rPr/>
        <w:drawing>
          <wp:inline distT="0" distB="0" distL="0" distR="0">
            <wp:extent cx="5819140" cy="4191635"/>
            <wp:effectExtent l="0" t="0" r="0" b="0"/>
            <wp:docPr id="76" name="Диаграмма 73762"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1</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2012 году</w:t>
      </w:r>
      <w:bookmarkEnd w:id="204"/>
    </w:p>
    <w:p>
      <w:pPr>
        <w:pStyle w:val="Normal"/>
        <w:spacing w:before="120" w:after="200"/>
        <w:ind w:hanging="0"/>
        <w:jc w:val="center"/>
        <w:textAlignment w:val="auto"/>
        <w:rPr>
          <w:rFonts w:cs="Arial"/>
          <w:b/>
          <w:bCs/>
          <w:sz w:val="18"/>
          <w:szCs w:val="18"/>
        </w:rPr>
      </w:pPr>
      <w:r>
        <w:rPr>
          <w:rFonts w:cs="Arial"/>
          <w:b/>
          <w:bCs/>
          <w:sz w:val="18"/>
          <w:szCs w:val="18"/>
        </w:rPr>
      </w:r>
    </w:p>
    <w:p>
      <w:pPr>
        <w:pStyle w:val="Normal"/>
        <w:spacing w:before="120" w:after="200"/>
        <w:ind w:hanging="0"/>
        <w:jc w:val="center"/>
        <w:textAlignment w:val="auto"/>
        <w:rPr>
          <w:rFonts w:cs="Arial"/>
          <w:b/>
          <w:bCs/>
          <w:sz w:val="18"/>
          <w:szCs w:val="18"/>
        </w:rPr>
      </w:pPr>
      <w:r>
        <w:rPr>
          <w:rFonts w:cs="Arial"/>
          <w:b/>
          <w:bCs/>
          <w:sz w:val="18"/>
          <w:szCs w:val="18"/>
        </w:rPr>
      </w:r>
    </w:p>
    <w:p>
      <w:pPr>
        <w:pStyle w:val="Caption"/>
        <w:jc w:val="center"/>
        <w:rPr/>
      </w:pPr>
      <w:r>
        <w:rPr/>
        <w:drawing>
          <wp:inline distT="0" distB="0" distL="0" distR="0">
            <wp:extent cx="5224780" cy="3871595"/>
            <wp:effectExtent l="0" t="0" r="0" b="0"/>
            <wp:docPr id="77" name="Диаграмма 19"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pPr>
        <w:pStyle w:val="Normal"/>
        <w:spacing w:before="120" w:after="200"/>
        <w:ind w:hanging="0"/>
        <w:jc w:val="center"/>
        <w:textAlignment w:val="auto"/>
        <w:rPr>
          <w:rFonts w:cs="Arial"/>
          <w:b/>
          <w:bCs/>
          <w:sz w:val="18"/>
          <w:szCs w:val="18"/>
        </w:rPr>
      </w:pPr>
      <w:bookmarkStart w:id="205" w:name="_Toc71274692"/>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2</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2017 году</w:t>
      </w:r>
      <w:bookmarkEnd w:id="205"/>
    </w:p>
    <w:p>
      <w:pPr>
        <w:pStyle w:val="Normal"/>
        <w:ind w:hanging="0"/>
        <w:jc w:val="center"/>
        <w:rPr/>
      </w:pPr>
      <w:r>
        <w:rPr/>
        <w:drawing>
          <wp:inline distT="0" distB="0" distL="0" distR="0">
            <wp:extent cx="5118100" cy="3634105"/>
            <wp:effectExtent l="0" t="0" r="0" b="0"/>
            <wp:docPr id="78" name="Диаграмма 20"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pPr>
        <w:pStyle w:val="Normal"/>
        <w:spacing w:before="120" w:after="200"/>
        <w:ind w:hanging="0"/>
        <w:jc w:val="center"/>
        <w:textAlignment w:val="auto"/>
        <w:rPr>
          <w:rFonts w:cs="Arial"/>
          <w:b/>
          <w:bCs/>
          <w:sz w:val="18"/>
          <w:szCs w:val="18"/>
        </w:rPr>
      </w:pPr>
      <w:bookmarkStart w:id="206" w:name="_Toc71274693"/>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3</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2022 году</w:t>
      </w:r>
      <w:bookmarkEnd w:id="206"/>
    </w:p>
    <w:p>
      <w:pPr>
        <w:pStyle w:val="Normal"/>
        <w:spacing w:before="120" w:after="200"/>
        <w:ind w:hanging="0"/>
        <w:jc w:val="center"/>
        <w:textAlignment w:val="auto"/>
        <w:rPr>
          <w:rFonts w:cs="Arial"/>
          <w:b/>
          <w:bCs/>
          <w:sz w:val="18"/>
          <w:szCs w:val="18"/>
        </w:rPr>
      </w:pPr>
      <w:r>
        <w:rPr/>
        <w:drawing>
          <wp:inline distT="0" distB="0" distL="0" distR="0">
            <wp:extent cx="5307965" cy="4109085"/>
            <wp:effectExtent l="0" t="0" r="0" b="0"/>
            <wp:docPr id="79" name="Диаграмма 2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pPr>
        <w:pStyle w:val="Normal"/>
        <w:spacing w:before="120" w:after="200"/>
        <w:ind w:hanging="0"/>
        <w:jc w:val="center"/>
        <w:textAlignment w:val="auto"/>
        <w:rPr>
          <w:rFonts w:cs="Arial"/>
          <w:b/>
          <w:bCs/>
          <w:sz w:val="18"/>
          <w:szCs w:val="18"/>
        </w:rPr>
      </w:pPr>
      <w:r>
        <w:rPr>
          <w:rFonts w:cs="Arial"/>
          <w:b/>
          <w:bCs/>
          <w:sz w:val="18"/>
          <w:szCs w:val="18"/>
        </w:rPr>
        <w:t>Рисунок 11.4. Распределение присоединенной нагрузки между  теплоснабжающими организациями МО «Город Калуга» в 2023 году</w:t>
      </w:r>
    </w:p>
    <w:p>
      <w:pPr>
        <w:pStyle w:val="Normal"/>
        <w:spacing w:before="120" w:after="200"/>
        <w:ind w:hanging="0"/>
        <w:jc w:val="center"/>
        <w:textAlignment w:val="auto"/>
        <w:rPr>
          <w:lang w:eastAsia="ru-RU"/>
        </w:rPr>
      </w:pPr>
      <w:r>
        <w:rPr>
          <w:lang w:eastAsia="ru-RU"/>
        </w:rPr>
      </w:r>
    </w:p>
    <w:p>
      <w:pPr>
        <w:pStyle w:val="Normal"/>
        <w:spacing w:before="120" w:after="200"/>
        <w:ind w:hanging="0"/>
        <w:jc w:val="center"/>
        <w:textAlignment w:val="auto"/>
        <w:rPr>
          <w:rFonts w:cs="Arial"/>
          <w:b/>
          <w:bCs/>
          <w:sz w:val="18"/>
          <w:szCs w:val="18"/>
        </w:rPr>
      </w:pPr>
      <w:r>
        <w:rPr/>
        <w:drawing>
          <wp:inline distT="0" distB="0" distL="0" distR="0">
            <wp:extent cx="5772785" cy="2696210"/>
            <wp:effectExtent l="0" t="0" r="0" b="0"/>
            <wp:docPr id="80" name="Рисунок 737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73756" descr=""/>
                    <pic:cNvPicPr>
                      <a:picLocks noChangeAspect="1" noChangeArrowheads="1"/>
                    </pic:cNvPicPr>
                  </pic:nvPicPr>
                  <pic:blipFill>
                    <a:blip r:embed="rId161"/>
                    <a:srcRect l="21594" t="32063" r="31642" b="29113"/>
                    <a:stretch>
                      <a:fillRect/>
                    </a:stretch>
                  </pic:blipFill>
                  <pic:spPr bwMode="auto">
                    <a:xfrm>
                      <a:off x="0" y="0"/>
                      <a:ext cx="5772785" cy="2696210"/>
                    </a:xfrm>
                    <a:prstGeom prst="rect">
                      <a:avLst/>
                    </a:prstGeom>
                    <a:noFill/>
                  </pic:spPr>
                </pic:pic>
              </a:graphicData>
            </a:graphic>
          </wp:inline>
        </w:drawing>
      </w:r>
    </w:p>
    <w:p>
      <w:pPr>
        <w:pStyle w:val="Normal"/>
        <w:ind w:hanging="0"/>
        <w:jc w:val="center"/>
        <w:rPr/>
      </w:pPr>
      <w:r>
        <w:rPr/>
      </w:r>
    </w:p>
    <w:p>
      <w:pPr>
        <w:sectPr>
          <w:headerReference w:type="default" r:id="rId162"/>
          <w:headerReference w:type="first" r:id="rId163"/>
          <w:footerReference w:type="default" r:id="rId164"/>
          <w:footerReference w:type="first" r:id="rId165"/>
          <w:type w:val="nextPage"/>
          <w:pgSz w:w="11906" w:h="16838"/>
          <w:pgMar w:left="1701" w:right="1134" w:gutter="0" w:header="510" w:top="851" w:footer="692" w:bottom="1134"/>
          <w:pgNumType w:fmt="decimal"/>
          <w:formProt w:val="false"/>
          <w:textDirection w:val="lrTb"/>
          <w:docGrid w:type="default" w:linePitch="360" w:charSpace="0"/>
        </w:sectPr>
        <w:pStyle w:val="Normal"/>
        <w:spacing w:before="120" w:after="200"/>
        <w:ind w:hanging="0"/>
        <w:jc w:val="center"/>
        <w:textAlignment w:val="auto"/>
        <w:rPr>
          <w:rFonts w:cs="Arial"/>
          <w:b/>
          <w:bCs/>
          <w:sz w:val="18"/>
          <w:szCs w:val="18"/>
        </w:rPr>
      </w:pPr>
      <w:bookmarkStart w:id="207" w:name="_Toc71274694"/>
      <w:r>
        <w:rPr>
          <w:rFonts w:cs="Arial"/>
          <w:b/>
          <w:bCs/>
          <w:sz w:val="18"/>
          <w:szCs w:val="18"/>
        </w:rPr>
        <w:t>Рисунок 11.5.  Распределение присоединенной нагрузки между теплоснабжающими организациями МО «Город Калуга» в 2025 году</w:t>
      </w:r>
      <w:bookmarkEnd w:id="207"/>
    </w:p>
    <w:p>
      <w:pPr>
        <w:pStyle w:val="Heading1"/>
        <w:numPr>
          <w:ilvl w:val="0"/>
          <w:numId w:val="0"/>
        </w:numPr>
        <w:ind w:hanging="0" w:left="0"/>
        <w:jc w:val="center"/>
        <w:rPr/>
      </w:pPr>
      <w:bookmarkStart w:id="208" w:name="_Toc132981703"/>
      <w:r>
        <w:rPr/>
        <w:t>Раздел 12. Решения по бесхозяйным тепловым сетям</w:t>
      </w:r>
      <w:bookmarkEnd w:id="208"/>
    </w:p>
    <w:p>
      <w:pPr>
        <w:pStyle w:val="Normal"/>
        <w:spacing w:lineRule="auto" w:line="360"/>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12.1. </w:t>
      </w:r>
    </w:p>
    <w:p>
      <w:pPr>
        <w:pStyle w:val="Normal"/>
        <w:shd w:val="clear" w:color="auto" w:fill="FFFFFF"/>
        <w:ind w:hanging="0"/>
        <w:rPr>
          <w:b/>
          <w:bCs/>
          <w:sz w:val="18"/>
          <w:szCs w:val="18"/>
        </w:rPr>
      </w:pPr>
      <w:bookmarkStart w:id="209" w:name="_Toc132971387"/>
      <w:bookmarkStart w:id="210" w:name="_Toc70663617"/>
      <w:r>
        <w:rPr>
          <w:b/>
          <w:bCs/>
          <w:sz w:val="18"/>
          <w:szCs w:val="18"/>
        </w:rPr>
        <w:t>Таблица 12.</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1</w:t>
      </w:r>
      <w:r>
        <w:rPr>
          <w:sz w:val="18"/>
          <w:b/>
          <w:szCs w:val="18"/>
          <w:bCs/>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209"/>
      <w:bookmarkEnd w:id="210"/>
    </w:p>
    <w:tbl>
      <w:tblPr>
        <w:tblW w:w="21278" w:type="dxa"/>
        <w:jc w:val="left"/>
        <w:tblInd w:w="93" w:type="dxa"/>
        <w:tblLayout w:type="fixed"/>
        <w:tblCellMar>
          <w:top w:w="0" w:type="dxa"/>
          <w:left w:w="108" w:type="dxa"/>
          <w:bottom w:w="0" w:type="dxa"/>
          <w:right w:w="108" w:type="dxa"/>
        </w:tblCellMar>
        <w:tblLook w:firstRow="1" w:noVBand="1" w:lastRow="0" w:firstColumn="1" w:lastColumn="0" w:noHBand="0" w:val="04a0"/>
      </w:tblPr>
      <w:tblGrid>
        <w:gridCol w:w="700"/>
        <w:gridCol w:w="2434"/>
        <w:gridCol w:w="3685"/>
        <w:gridCol w:w="2268"/>
        <w:gridCol w:w="992"/>
        <w:gridCol w:w="1560"/>
        <w:gridCol w:w="1983"/>
        <w:gridCol w:w="2410"/>
        <w:gridCol w:w="2835"/>
        <w:gridCol w:w="2409"/>
      </w:tblGrid>
      <w:tr>
        <w:trPr>
          <w:tblHeader w:val="true"/>
          <w:trHeight w:val="1995" w:hRule="atLeast"/>
        </w:trPr>
        <w:tc>
          <w:tcPr>
            <w:tcW w:w="700"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п/п</w:t>
            </w:r>
          </w:p>
        </w:tc>
        <w:tc>
          <w:tcPr>
            <w:tcW w:w="2434"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Адрес котельной</w:t>
            </w:r>
          </w:p>
        </w:tc>
        <w:tc>
          <w:tcPr>
            <w:tcW w:w="3685"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 xml:space="preserve">Адрес бесхозяйных тепловых сетей </w:t>
            </w:r>
          </w:p>
        </w:tc>
        <w:tc>
          <w:tcPr>
            <w:tcW w:w="2268"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Диаметр</w:t>
            </w:r>
          </w:p>
        </w:tc>
        <w:tc>
          <w:tcPr>
            <w:tcW w:w="992"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Длина, п.м.</w:t>
            </w:r>
          </w:p>
        </w:tc>
        <w:tc>
          <w:tcPr>
            <w:tcW w:w="1560"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Длинабесхозяйных при принятия в хоз.ведение</w:t>
            </w:r>
          </w:p>
        </w:tc>
        <w:tc>
          <w:tcPr>
            <w:tcW w:w="1983"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Дата выявленных бесхозяйных тепловых сетей (письмо в Упралвения)</w:t>
            </w:r>
          </w:p>
        </w:tc>
        <w:tc>
          <w:tcPr>
            <w:tcW w:w="2410"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ЭиИО</w:t>
            </w:r>
          </w:p>
        </w:tc>
        <w:tc>
          <w:tcPr>
            <w:tcW w:w="2835"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ЖКХ</w:t>
            </w:r>
          </w:p>
        </w:tc>
        <w:tc>
          <w:tcPr>
            <w:tcW w:w="2409" w:type="dxa"/>
            <w:tcBorders>
              <w:top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о признание бесхозяйных сетей</w:t>
            </w:r>
          </w:p>
        </w:tc>
      </w:tr>
      <w:tr>
        <w:trPr>
          <w:trHeight w:val="94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Хрустальная 18</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2</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2д 273 = 65 п.м, </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1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№2-1-5473/2020 от 31.07.2020</w:t>
            </w:r>
          </w:p>
        </w:tc>
      </w:tr>
      <w:tr>
        <w:trPr>
          <w:trHeight w:val="63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108=5,9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5,9</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3</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2д 273 = 50,8 п.м, </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50,8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1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2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108=8,7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8,7</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4</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273 = 48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1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2д 133=4,8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4,8</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5</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2д 219 = 107 п.м, </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107</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1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6</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133=11,5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11,5</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Дзержинского, 83а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Н-Козинская 22а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03.12.2019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№2-1-5080/2020 от 17.07.2020</w:t>
            </w:r>
          </w:p>
        </w:tc>
      </w:tr>
      <w:tr>
        <w:trPr>
          <w:trHeight w:val="82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0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Никитина 95б</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Никитина 97</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57</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03.12.2019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7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Кирова, 67а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147</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2д 133 = 19 п.м, </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9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100/89=19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89/32=24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bottom w:val="single" w:sz="8" w:space="0" w:color="000000"/>
              <w:right w:val="single" w:sz="8" w:space="0" w:color="000000"/>
            </w:tcBorders>
            <w:shd w:color="auto" w:fill="auto" w:val="clear"/>
          </w:tcPr>
          <w:p>
            <w:pPr>
              <w:pStyle w:val="Normal"/>
              <w:widowControl/>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t> </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Суворова 151 до Суворова 147 («Ташир»)</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89/57=16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69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20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пл. Победы, 9а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Ст. Разина, 64</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2д 89 = 68 п.м, </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76/57=68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68</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ТК-11 до Диспансера</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2д59=2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20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УВ до Диспансера</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57/57=33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33</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7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Н. Козинская 3 до Кирова 96</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2д89=26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6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Московская, 31 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123 – Московская 52</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2д57=40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69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Тк-16 – Московская 52а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2д57=18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1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1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Чижевского, 12а</w:t>
            </w:r>
          </w:p>
        </w:tc>
        <w:tc>
          <w:tcPr>
            <w:tcW w:w="368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 xml:space="preserve">Ул. Суворова 153 корп. 5 </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2д57=50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0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153 корп. 5 до ул. Суворова 153</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2д57=19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Новослободская, 25а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Механизаторов 36а</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155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 155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155</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2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Пролетарская, 21</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МТС (Плеханова, 20) до гаражей «Венера»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 163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163</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АО «Тайфун»</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УВ котельной по ул. Маяковского, 59 до ЦТП</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160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9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Воскресенская, 29Б</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 до ТВ-2 на автомойку</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38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ТК-3 до пер. Воскресенский 27а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6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2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 xml:space="preserve">От ТВ-3 (транзит) до пер. Воскресенский 29/1 и гаража </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15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5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Транзит общежития МГТУ</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23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общежития корпус 1 до корпуса 2</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95" w:hRule="atLeast"/>
        </w:trPr>
        <w:tc>
          <w:tcPr>
            <w:tcW w:w="700" w:type="dxa"/>
            <w:vMerge w:val="restart"/>
            <w:tcBorders>
              <w:left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w:t>
            </w:r>
          </w:p>
        </w:tc>
        <w:tc>
          <w:tcPr>
            <w:tcW w:w="2434" w:type="dxa"/>
            <w:vMerge w:val="restart"/>
            <w:tcBorders>
              <w:left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ЦТП ул. Гагарина, 8</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ТК-141 до  ж/д Гагарина, 8а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65" w:hRule="atLeast"/>
        </w:trPr>
        <w:tc>
          <w:tcPr>
            <w:tcW w:w="700"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05" w:hRule="atLeast"/>
        </w:trPr>
        <w:tc>
          <w:tcPr>
            <w:tcW w:w="700"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 до ж/д Баумана, 35</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21,5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21,5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10" w:type="dxa"/>
            <w:tcBorders>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750" w:hRule="atLeast"/>
        </w:trPr>
        <w:tc>
          <w:tcPr>
            <w:tcW w:w="700"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50" w:hRule="atLeast"/>
        </w:trPr>
        <w:tc>
          <w:tcPr>
            <w:tcW w:w="700" w:type="dxa"/>
            <w:vMerge w:val="restart"/>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13</w:t>
            </w:r>
          </w:p>
        </w:tc>
        <w:tc>
          <w:tcPr>
            <w:tcW w:w="2434" w:type="dxa"/>
            <w:vMerge w:val="restart"/>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У-193 до  ж/д.  ул. Суворова  38, 44, 46</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109,5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109,5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14.02.2020</w:t>
            </w:r>
          </w:p>
        </w:tc>
        <w:tc>
          <w:tcPr>
            <w:tcW w:w="241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18.02.2020 1199/17-20 - поручение</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ЖКХ 26.11.2020 № 7820/17-20 - поручение по содержанию и эксплуатации, № 44 Суворова на балансе МО "Город Калуга"</w:t>
            </w:r>
          </w:p>
        </w:tc>
      </w:tr>
      <w:tr>
        <w:trPr>
          <w:trHeight w:val="1515" w:hRule="atLeast"/>
        </w:trPr>
        <w:tc>
          <w:tcPr>
            <w:tcW w:w="700"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89/76 = 73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73</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55" w:hRule="atLeast"/>
        </w:trPr>
        <w:tc>
          <w:tcPr>
            <w:tcW w:w="700"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57/45 = 11,5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11,5</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УТКО-7 до ж/д к. Королева 51</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 = 1,7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45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2д133= 2,4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20,9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20,9</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58,4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58,4</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20,9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20,9</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58,4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58,4</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 0,8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1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2д32 = 35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д133/89 = 17,6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17,6</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1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д108/89 = 22,5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д57/57 =51,2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51,2</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3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д57/32 =6,4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6,4</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11,6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11,6</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УТКО-57 до ж/д Ак. Королева 49</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 60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2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60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УТКО-7 д ж/д Гагарина 6А/47</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28 п.м.</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32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28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72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Гурьянова,71</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л. Изумрудная 24</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2Д89,57 = 95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95</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Письмо «КЗСМ»  № 278 от 03.06.2020 г. Письмо от Управления ЭиИо 19.11.2020 № 4713/16-20 -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Письмо от Управления ЖКХ №8465/17-20 от 18.12.2020- поручение</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18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т/с Тайфун</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44,46,48</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389,5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Решение суда дело №2-1-4525/2020 от 03.07.2020</w:t>
            </w:r>
          </w:p>
        </w:tc>
      </w:tr>
      <w:tr>
        <w:trPr>
          <w:trHeight w:val="82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Кирова, в районе № 7а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vMerge w:val="restart"/>
            <w:tcBorders>
              <w:lef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t>20</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t> </w:t>
            </w:r>
          </w:p>
        </w:tc>
        <w:tc>
          <w:tcPr>
            <w:tcW w:w="1983" w:type="dxa"/>
            <w:vMerge w:val="restart"/>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Решение суда дело №2-1-4013/2020 от 02.07.2020</w:t>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t> </w:t>
            </w:r>
          </w:p>
        </w:tc>
        <w:tc>
          <w:tcPr>
            <w:tcW w:w="1983" w:type="dxa"/>
            <w:vMerge w:val="continue"/>
            <w:tcBorders>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r>
      <w:tr>
        <w:trPr>
          <w:trHeight w:val="12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2434" w:type="dxa"/>
            <w:vMerge w:val="restart"/>
            <w:tcBorders>
              <w:left w:val="single" w:sz="8" w:space="0" w:color="000000"/>
              <w:bottom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Кожедуба,11</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Кожедуба,2 (от ТК-2 до здание магазина)</w:t>
            </w:r>
          </w:p>
        </w:tc>
        <w:tc>
          <w:tcPr>
            <w:tcW w:w="2268" w:type="dxa"/>
            <w:tcBorders>
              <w:bottom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д32  = 22 п.м.</w:t>
            </w:r>
          </w:p>
        </w:tc>
        <w:tc>
          <w:tcPr>
            <w:tcW w:w="992" w:type="dxa"/>
            <w:tcBorders>
              <w:top w:val="single" w:sz="4" w:space="0" w:color="000000"/>
              <w:left w:val="single" w:sz="4" w:space="0" w:color="000000"/>
              <w:bottom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bottom w:val="single" w:sz="8" w:space="0" w:color="000000"/>
              <w:right w:val="single" w:sz="8" w:space="0" w:color="000000"/>
            </w:tcBorders>
            <w:shd w:color="auto" w:fill="auto" w:val="clear"/>
            <w:vAlign w:val="center"/>
          </w:tcPr>
          <w:p>
            <w:pPr>
              <w:pStyle w:val="Normal"/>
              <w:widowControl/>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18.06.2020</w:t>
            </w:r>
          </w:p>
        </w:tc>
        <w:tc>
          <w:tcPr>
            <w:tcW w:w="2410"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7030A0"/>
                <w:spacing w:val="0"/>
                <w:sz w:val="24"/>
                <w:szCs w:val="24"/>
                <w:lang w:eastAsia="ru-RU"/>
              </w:rPr>
            </w:pPr>
            <w:r>
              <w:rPr>
                <w:rFonts w:eastAsia="Times New Roman" w:ascii="Times New Roman" w:hAnsi="Times New Roman"/>
                <w:color w:val="7030A0"/>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№8020/17-20 от 03.12.2020- поручение Письмо от Управления ЖКХ № 3446/17-20 от 09.06.2020г. - поручение</w:t>
            </w:r>
          </w:p>
        </w:tc>
        <w:tc>
          <w:tcPr>
            <w:tcW w:w="240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180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Курсантов,20 (От котельной до учебного корпуса №2 и столовой Парашютного клуба)</w:t>
            </w:r>
          </w:p>
        </w:tc>
        <w:tc>
          <w:tcPr>
            <w:tcW w:w="226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265</w:t>
            </w:r>
          </w:p>
        </w:tc>
        <w:tc>
          <w:tcPr>
            <w:tcW w:w="992" w:type="dxa"/>
            <w:tcBorders>
              <w:bottom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ЭиИо 03.12.2020 № 4908/16-20 - о предоставлении информации, находится в реесте ГБУ " КОСН"</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5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 Усадебная, 2</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Светлая,10</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81</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 2-1-3806/2020</w:t>
            </w:r>
          </w:p>
        </w:tc>
      </w:tr>
      <w:tr>
        <w:trPr>
          <w:trHeight w:val="97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Ольговская,19а</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Дружбы район дома,18</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30</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 2-1-3542/2020</w:t>
            </w:r>
          </w:p>
        </w:tc>
      </w:tr>
      <w:tr>
        <w:trPr>
          <w:trHeight w:val="129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КЗТА ЦТП Н.Козинская,77а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 xml:space="preserve">ул. Николо-Козинская,92 </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д89/57=127 п.м. С.О.2д159</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127</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3112/17-20 от 30.04.2020</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8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С.О.2д159</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127</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continue"/>
            <w:tcBorders>
              <w:left w:val="single" w:sz="8" w:space="0" w:color="000000"/>
              <w:bottom w:val="single" w:sz="8" w:space="0" w:color="000000"/>
              <w:right w:val="single" w:sz="8"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960"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Пр. 1-й Академический,29 </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Димитрова, 8 и 10</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Участок тепловой сети по ул. Димитрова,8 и 10 протяженностью 292,0 п.м.</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292</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1932/17-20 от 1.03.2020г.</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960"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2434"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65 лет Победы, 51</w:t>
            </w:r>
          </w:p>
        </w:tc>
        <w:tc>
          <w:tcPr>
            <w:tcW w:w="368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65 лет Победы , 45</w:t>
            </w:r>
          </w:p>
        </w:tc>
        <w:tc>
          <w:tcPr>
            <w:tcW w:w="2268"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41,7</w:t>
            </w:r>
          </w:p>
        </w:tc>
        <w:tc>
          <w:tcPr>
            <w:tcW w:w="1560"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УЭиО 09.09.2020</w:t>
            </w:r>
          </w:p>
        </w:tc>
        <w:tc>
          <w:tcPr>
            <w:tcW w:w="2410"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3947/16-20 от 29.09.2020</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1603/17-21 от 11.03.2021г.</w:t>
            </w:r>
          </w:p>
        </w:tc>
        <w:tc>
          <w:tcPr>
            <w:tcW w:w="2409" w:type="dxa"/>
            <w:tcBorders>
              <w:bottom w:val="single" w:sz="8" w:space="0" w:color="000000"/>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630" w:hRule="atLeast"/>
        </w:trPr>
        <w:tc>
          <w:tcPr>
            <w:tcW w:w="700" w:type="dxa"/>
            <w:tcBorders>
              <w:left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2434"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М.Жукова 40а</w:t>
            </w:r>
          </w:p>
        </w:tc>
        <w:tc>
          <w:tcPr>
            <w:tcW w:w="368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Подгорная 57  СШОР "Труд" Трибуны</w:t>
            </w:r>
          </w:p>
        </w:tc>
        <w:tc>
          <w:tcPr>
            <w:tcW w:w="2268"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125</w:t>
            </w:r>
          </w:p>
        </w:tc>
        <w:tc>
          <w:tcPr>
            <w:tcW w:w="1560"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УЖХ от 11.11.2020</w:t>
            </w:r>
          </w:p>
        </w:tc>
        <w:tc>
          <w:tcPr>
            <w:tcW w:w="2410"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w:t>
            </w:r>
          </w:p>
        </w:tc>
        <w:tc>
          <w:tcPr>
            <w:tcW w:w="2409" w:type="dxa"/>
            <w:tcBorders>
              <w:right w:val="single" w:sz="8"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630" w:hRule="atLeast"/>
        </w:trPr>
        <w:tc>
          <w:tcPr>
            <w:tcW w:w="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25</w:t>
            </w:r>
          </w:p>
        </w:tc>
        <w:tc>
          <w:tcPr>
            <w:tcW w:w="243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Московская, 317а</w:t>
            </w:r>
          </w:p>
        </w:tc>
        <w:tc>
          <w:tcPr>
            <w:tcW w:w="3685"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ТВ-10 до ул. Московская, 311</w:t>
            </w:r>
          </w:p>
        </w:tc>
        <w:tc>
          <w:tcPr>
            <w:tcW w:w="2268"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76</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526</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УЖХ от 27.11.2020</w:t>
            </w:r>
          </w:p>
        </w:tc>
        <w:tc>
          <w:tcPr>
            <w:tcW w:w="2410"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t> </w:t>
            </w:r>
          </w:p>
        </w:tc>
        <w:tc>
          <w:tcPr>
            <w:tcW w:w="2409"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124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КЗТА ул. С.Щерина 141 (от ЦТП Болдина 20)</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от запорной арматуры (ТК) до стены здания  ул. Никитина 70Б</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93</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bottom w:val="single" w:sz="8" w:space="0" w:color="000000"/>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7866/17-20 от 26.11.2020г. - поручение</w:t>
            </w:r>
          </w:p>
        </w:tc>
        <w:tc>
          <w:tcPr>
            <w:tcW w:w="2409" w:type="dxa"/>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1095" w:hRule="atLeast"/>
        </w:trPr>
        <w:tc>
          <w:tcPr>
            <w:tcW w:w="700"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w:t>
            </w:r>
          </w:p>
        </w:tc>
        <w:tc>
          <w:tcPr>
            <w:tcW w:w="2434"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КТЗ ул. Московская 231 </w:t>
            </w:r>
          </w:p>
        </w:tc>
        <w:tc>
          <w:tcPr>
            <w:tcW w:w="3685"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Поле Свободы 18а (военкомат)</w:t>
            </w:r>
          </w:p>
        </w:tc>
        <w:tc>
          <w:tcPr>
            <w:tcW w:w="2268"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25</w:t>
            </w:r>
          </w:p>
        </w:tc>
        <w:tc>
          <w:tcPr>
            <w:tcW w:w="992"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right w:val="single" w:sz="8"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9" w:type="dxa"/>
            <w:tcBorders>
              <w:left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Кропоткина 4а</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Карпова 2 (военкомат)</w:t>
            </w:r>
          </w:p>
        </w:tc>
        <w:tc>
          <w:tcPr>
            <w:tcW w:w="2268"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108</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3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89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8,5</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2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29</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КЭМЗ УЛ. С.Щедрина 121</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 Горького, 87 (военкомат)</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32</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9"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76</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56</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133</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208,1</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45</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94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В. Восстания, 12</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117 (военкомат)</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9"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88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31</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Чичерина 23а</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Поле Свободы 31</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 (от стены ж/д 33 п. Свободы до ж/д 31 п. Свободы</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151а ОТ 11.02.21</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1365" w:hRule="atLeast"/>
        </w:trPr>
        <w:tc>
          <w:tcPr>
            <w:tcW w:w="700"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32</w:t>
            </w:r>
          </w:p>
        </w:tc>
        <w:tc>
          <w:tcPr>
            <w:tcW w:w="2434"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КЭМЗ с.Щедрина 121</w:t>
            </w:r>
          </w:p>
        </w:tc>
        <w:tc>
          <w:tcPr>
            <w:tcW w:w="3685"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ФР.Энгельса 143</w:t>
            </w:r>
          </w:p>
        </w:tc>
        <w:tc>
          <w:tcPr>
            <w:tcW w:w="2268"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(от сточки "А"до ж/д № 143 Фр.Энгельса</w:t>
            </w:r>
          </w:p>
        </w:tc>
        <w:tc>
          <w:tcPr>
            <w:tcW w:w="992"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w:t>
            </w:r>
          </w:p>
        </w:tc>
        <w:tc>
          <w:tcPr>
            <w:tcW w:w="1560"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487А от 20.04.21 в УЭиИО</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Управление Экономики и Им.отнош. об отсутсвие в муниц. Реестре 1713/16-21 от 28.04.21</w:t>
            </w:r>
          </w:p>
        </w:tc>
        <w:tc>
          <w:tcPr>
            <w:tcW w:w="5244"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возможный балансодержатель ОАО КЭМЗ</w:t>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33</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Кибальчича, 17а</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ул.Кибальчича, 21</w:t>
            </w:r>
          </w:p>
        </w:tc>
        <w:tc>
          <w:tcPr>
            <w:tcW w:w="226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2д89/57</w:t>
            </w:r>
          </w:p>
        </w:tc>
        <w:tc>
          <w:tcPr>
            <w:tcW w:w="992"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1023а от 24.08.21</w:t>
            </w:r>
          </w:p>
        </w:tc>
        <w:tc>
          <w:tcPr>
            <w:tcW w:w="24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vMerge w:val="restart"/>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r>
      <w:tr>
        <w:trPr>
          <w:trHeight w:val="52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w:t>
            </w:r>
          </w:p>
        </w:tc>
        <w:tc>
          <w:tcPr>
            <w:tcW w:w="992"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9" w:type="dxa"/>
            <w:vMerge w:val="continue"/>
            <w:tcBorders>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280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34</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В.Восстания 12</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Кирова 15/43</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880а от 22.07.21           исх. № 1196а от 01.10.21</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Управление Экономики и Им.отнош. об отсутсвие в муниц. Реестре 3105/16-21 от 09.08.21                     Управление Экономики и Им.отнош. Не определен  Реестре 4244/16-21 от 28.10.21</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79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35</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Кирова 42</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Театральная 4г</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с.о. 57 гвс </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25</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76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36</w:t>
            </w:r>
          </w:p>
        </w:tc>
        <w:tc>
          <w:tcPr>
            <w:tcW w:w="243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Мстихино, Светлая, 58</w:t>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Радужная, 5</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Решение суда дело №2-1-4492/2020 от 13.08.2021</w:t>
            </w:r>
          </w:p>
        </w:tc>
      </w:tr>
      <w:tr>
        <w:trPr>
          <w:trHeight w:val="525"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37</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Труда 37а</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1444а от 16.11.21</w:t>
            </w:r>
          </w:p>
        </w:tc>
        <w:tc>
          <w:tcPr>
            <w:tcW w:w="24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6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90</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70" w:hRule="atLeast"/>
        </w:trPr>
        <w:tc>
          <w:tcPr>
            <w:tcW w:w="700"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w:t>
            </w:r>
          </w:p>
        </w:tc>
        <w:tc>
          <w:tcPr>
            <w:tcW w:w="2434"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Чичерина, 11а</w:t>
            </w:r>
          </w:p>
        </w:tc>
        <w:tc>
          <w:tcPr>
            <w:tcW w:w="3685" w:type="dxa"/>
            <w:tcBorders>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Чичерина, 13а</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2д32</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25" w:hRule="atLeast"/>
        </w:trPr>
        <w:tc>
          <w:tcPr>
            <w:tcW w:w="700" w:type="dxa"/>
            <w:tcBorders>
              <w:top w:val="single" w:sz="4" w:space="0" w:color="000000"/>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39</w:t>
            </w:r>
          </w:p>
        </w:tc>
        <w:tc>
          <w:tcPr>
            <w:tcW w:w="2434"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Дорожная, 6а</w:t>
            </w:r>
          </w:p>
        </w:tc>
        <w:tc>
          <w:tcPr>
            <w:tcW w:w="3685" w:type="dxa"/>
            <w:tcBorders>
              <w:top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Центральная, 12а</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40</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Ромодановские дворики, 61</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Ромодановские дворики, 61</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135</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6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493</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top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10"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272</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tcBorders>
              <w:top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95"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41</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д. Чижовка, </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 xml:space="preserve">ул. Минская, 41,42, </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26,8</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430А от 01.04.22</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2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70,55</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8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42</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4</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77</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45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9</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58,6</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1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37,3</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13</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93</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42</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Ю.Круглова,3</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д.с.Дельфиненок</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2д133</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559А от 22.04.22</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50/40</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43</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t>гр.Шоссе 115 стр.21</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b/>
                <w:bCs/>
                <w:color w:val="000000"/>
                <w:spacing w:val="0"/>
                <w:sz w:val="24"/>
                <w:szCs w:val="24"/>
                <w:lang w:eastAsia="ru-RU"/>
              </w:rPr>
            </w:pPr>
            <w:r>
              <w:rPr>
                <w:rFonts w:eastAsia="Times New Roman" w:ascii="Calibri" w:hAnsi="Calibri"/>
                <w:b/>
                <w:bCs/>
                <w:color w:val="000000"/>
                <w:spacing w:val="0"/>
                <w:sz w:val="24"/>
                <w:szCs w:val="24"/>
                <w:lang w:eastAsia="ru-RU"/>
              </w:rPr>
              <w:t>Больница COVID</w:t>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2д219</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198,5</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24196-ЗН-37-22</w:t>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b/>
                <w:bCs/>
                <w:color w:val="000000"/>
                <w:spacing w:val="0"/>
                <w:sz w:val="24"/>
                <w:szCs w:val="24"/>
                <w:lang w:eastAsia="ru-RU"/>
              </w:rPr>
            </w:pPr>
            <w:r>
              <w:rPr>
                <w:rFonts w:eastAsia="Times New Roman" w:ascii="Calibri" w:hAnsi="Calibri"/>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2д57</w:t>
            </w:r>
          </w:p>
        </w:tc>
        <w:tc>
          <w:tcPr>
            <w:tcW w:w="99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16,2</w:t>
            </w:r>
          </w:p>
        </w:tc>
        <w:tc>
          <w:tcPr>
            <w:tcW w:w="156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0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1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44</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котельная Монолит</w:t>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д.41</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4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283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5429/17-21 от 27.07.2021г. - поручение</w:t>
            </w:r>
          </w:p>
        </w:tc>
        <w:tc>
          <w:tcPr>
            <w:tcW w:w="240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r>
      <w:tr>
        <w:trPr>
          <w:trHeight w:val="55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д.43</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1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д.2</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5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9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 к.1</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9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 к.2</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0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д.6</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ascii="Times New Roman" w:hAnsi="Times New Roman" w:eastAsia="Times New Roman"/>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д.8</w:t>
            </w:r>
          </w:p>
        </w:tc>
        <w:tc>
          <w:tcPr>
            <w:tcW w:w="2268"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992"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w:t>
            </w:r>
          </w:p>
        </w:tc>
        <w:tc>
          <w:tcPr>
            <w:tcW w:w="1560" w:type="dxa"/>
            <w:tcBorders>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 </w:t>
            </w:r>
          </w:p>
        </w:tc>
        <w:tc>
          <w:tcPr>
            <w:tcW w:w="198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1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bl>
    <w:p>
      <w:pPr>
        <w:sectPr>
          <w:headerReference w:type="default" r:id="rId166"/>
          <w:headerReference w:type="first" r:id="rId167"/>
          <w:footerReference w:type="default" r:id="rId168"/>
          <w:footerReference w:type="first" r:id="rId169"/>
          <w:type w:val="nextPage"/>
          <w:pgSz w:orient="landscape" w:w="23811" w:h="16838"/>
          <w:pgMar w:left="1134" w:right="851" w:gutter="0" w:header="510" w:top="1701" w:footer="692" w:bottom="1134"/>
          <w:pgNumType w:fmt="decimal"/>
          <w:formProt w:val="false"/>
          <w:textDirection w:val="lrTb"/>
          <w:docGrid w:type="default" w:linePitch="360" w:charSpace="0"/>
        </w:sectPr>
      </w:pPr>
    </w:p>
    <w:p>
      <w:pPr>
        <w:pStyle w:val="Heading1"/>
        <w:numPr>
          <w:ilvl w:val="0"/>
          <w:numId w:val="0"/>
        </w:numPr>
        <w:ind w:hanging="0" w:left="0"/>
        <w:jc w:val="center"/>
        <w:rPr/>
      </w:pPr>
      <w:bookmarkStart w:id="211" w:name="_Toc132981704"/>
      <w:r>
        <w:rPr>
          <w:b/>
        </w:rPr>
        <w:t>РАЗДЕл</w:t>
      </w:r>
      <w:r>
        <w:rPr>
          <w:sz w:val="24"/>
        </w:rPr>
        <w:t xml:space="preserve"> </w:t>
      </w:r>
      <w:bookmarkStart w:id="212" w:name="_Toc368331450"/>
      <w:r>
        <w:rPr>
          <w:b/>
        </w:rPr>
        <w:t xml:space="preserve">13. </w:t>
      </w:r>
      <w:r>
        <w:rPr/>
        <w:t>Индикаторы развития системы теплоснабжения МО «Город Калуга»</w:t>
      </w:r>
      <w:bookmarkEnd w:id="211"/>
      <w:bookmarkEnd w:id="212"/>
    </w:p>
    <w:p>
      <w:pPr>
        <w:pStyle w:val="Normal"/>
        <w:spacing w:lineRule="auto" w:line="360" w:before="120" w:after="120"/>
        <w:ind w:hanging="0" w:left="1287"/>
        <w:contextualSpacing/>
        <w:rPr>
          <w:rFonts w:cs="Arial"/>
          <w:sz w:val="24"/>
          <w:szCs w:val="24"/>
        </w:rPr>
      </w:pPr>
      <w:r>
        <w:rPr>
          <w:rFonts w:cs="Arial"/>
          <w:sz w:val="24"/>
          <w:szCs w:val="24"/>
        </w:rPr>
      </w:r>
    </w:p>
    <w:p>
      <w:pPr>
        <w:pStyle w:val="Normal"/>
        <w:spacing w:lineRule="auto" w:line="360" w:before="120" w:after="120"/>
        <w:contextualSpacing/>
        <w:rPr>
          <w:rFonts w:cs="Arial"/>
          <w:sz w:val="24"/>
          <w:szCs w:val="24"/>
        </w:rPr>
      </w:pPr>
      <w:r>
        <w:rPr>
          <w:rFonts w:cs="Arial"/>
          <w:sz w:val="24"/>
          <w:szCs w:val="24"/>
        </w:rPr>
        <w:t xml:space="preserve">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 2012 г.). </w:t>
      </w:r>
    </w:p>
    <w:p>
      <w:pPr>
        <w:pStyle w:val="Normal"/>
        <w:spacing w:lineRule="auto" w:line="360" w:before="120" w:after="120"/>
        <w:contextualSpacing/>
        <w:rPr>
          <w:rFonts w:cs="Arial"/>
          <w:sz w:val="24"/>
          <w:szCs w:val="24"/>
        </w:rPr>
      </w:pPr>
      <w:r>
        <w:rPr>
          <w:rFonts w:cs="Arial"/>
          <w:sz w:val="24"/>
          <w:szCs w:val="24"/>
        </w:rPr>
        <w:t xml:space="preserve">Для источников с комбинированной выработкой тепловой и электрической энергии: </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проектный часовой коэффициент теплофикации – 0,65</w:t>
      </w:r>
      <w:r>
        <w:rPr>
          <w:rFonts w:cs="Arial"/>
          <w:sz w:val="24"/>
          <w:szCs w:val="24"/>
          <w:lang w:val="en-US"/>
        </w:rPr>
        <w:t>;</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годовой коэффициент теплофикации</w:t>
      </w:r>
      <w:r>
        <w:rPr>
          <w:rFonts w:cs="Arial"/>
          <w:sz w:val="24"/>
          <w:szCs w:val="24"/>
          <w:lang w:val="en-US"/>
        </w:rPr>
        <w:t xml:space="preserve"> – </w:t>
      </w:r>
      <w:r>
        <w:rPr>
          <w:rFonts w:cs="Arial"/>
          <w:sz w:val="24"/>
          <w:szCs w:val="24"/>
        </w:rPr>
        <w:t>1,0;</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коэффициент использования установленной электрической мощности – 15,91 %;</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доля электроэнергии, выработанной в теплофикационном цикле – 12,9 %;</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среднегодовое значение УРУТ на выработку электрической энергии – 496,4 г/кВт*ч;</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среднегодовое значение УРУТ на выработку тепловой энергии – 181,17 кг/Гкал;</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расход тепла на собственные нужды (в % от выработки) – 7,9 %;</w:t>
      </w:r>
    </w:p>
    <w:p>
      <w:pPr>
        <w:pStyle w:val="Normal"/>
        <w:numPr>
          <w:ilvl w:val="0"/>
          <w:numId w:val="23"/>
        </w:numPr>
        <w:spacing w:lineRule="auto" w:line="360" w:before="120" w:after="120"/>
        <w:ind w:firstLine="567" w:left="0"/>
        <w:contextualSpacing/>
        <w:rPr>
          <w:rFonts w:cs="Arial"/>
          <w:sz w:val="24"/>
          <w:szCs w:val="24"/>
        </w:rPr>
      </w:pPr>
      <w:r>
        <w:rPr>
          <w:rFonts w:cs="Arial"/>
          <w:sz w:val="24"/>
          <w:szCs w:val="24"/>
        </w:rPr>
        <w:t>расход электроэнергии на собственные нужды (в % от выработки) – 22,2 %.</w:t>
      </w:r>
    </w:p>
    <w:p>
      <w:pPr>
        <w:pStyle w:val="Normal"/>
        <w:spacing w:lineRule="auto" w:line="360" w:before="120" w:after="120"/>
        <w:contextualSpacing/>
        <w:rPr>
          <w:rFonts w:cs="Arial"/>
          <w:sz w:val="24"/>
          <w:szCs w:val="24"/>
        </w:rPr>
      </w:pPr>
      <w:r>
        <w:rPr>
          <w:rFonts w:cs="Arial"/>
          <w:sz w:val="24"/>
          <w:szCs w:val="24"/>
        </w:rPr>
      </w:r>
    </w:p>
    <w:p>
      <w:pPr>
        <w:pStyle w:val="Normal"/>
        <w:spacing w:lineRule="auto" w:line="360" w:before="120" w:after="120"/>
        <w:contextualSpacing/>
        <w:rPr>
          <w:rFonts w:cs="Arial"/>
          <w:sz w:val="24"/>
          <w:szCs w:val="24"/>
        </w:rPr>
      </w:pPr>
      <w:r>
        <w:rPr>
          <w:rFonts w:cs="Arial"/>
          <w:sz w:val="24"/>
          <w:szCs w:val="24"/>
        </w:rPr>
        <w:t>Для источников с выработкой тепловой энергии (котельных):</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Средневзвешенный срок службы котлоагрегатов – 29,3 лет;</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 xml:space="preserve">УРУТ на выработку тепловой энергии – 163,1 </w:t>
        <w:tab/>
        <w:t>кг у.т./Гкал;</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УРУТ на отпуск тепловой энергии – 167,5 кг у.т./Гкал;</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расход тепла на собственные нужды (в % от выработки) – 2,6%;</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удельный расход электроэнергии на выработку тепловой энергии – 21,6 кВт*ч / Гкал;</w:t>
      </w:r>
    </w:p>
    <w:p>
      <w:pPr>
        <w:pStyle w:val="Normal"/>
        <w:numPr>
          <w:ilvl w:val="0"/>
          <w:numId w:val="24"/>
        </w:numPr>
        <w:spacing w:lineRule="auto" w:line="360" w:before="120" w:after="120"/>
        <w:ind w:firstLine="567" w:left="0"/>
        <w:contextualSpacing/>
        <w:rPr>
          <w:rFonts w:cs="Arial"/>
          <w:sz w:val="24"/>
          <w:szCs w:val="24"/>
        </w:rPr>
      </w:pPr>
      <w:r>
        <w:rPr>
          <w:rFonts w:cs="Arial"/>
          <w:sz w:val="24"/>
          <w:szCs w:val="24"/>
        </w:rPr>
        <w:t>удельный расход воды на выработку тепловой энергии – 0,47 м</w:t>
      </w:r>
      <w:r>
        <w:rPr>
          <w:rFonts w:cs="Arial"/>
          <w:sz w:val="24"/>
          <w:szCs w:val="24"/>
          <w:vertAlign w:val="superscript"/>
        </w:rPr>
        <w:t>3</w:t>
      </w:r>
      <w:r>
        <w:rPr>
          <w:rFonts w:cs="Arial"/>
          <w:sz w:val="24"/>
          <w:szCs w:val="24"/>
        </w:rPr>
        <w:t xml:space="preserve"> / Гкал.</w:t>
      </w:r>
    </w:p>
    <w:p>
      <w:pPr>
        <w:pStyle w:val="Normal"/>
        <w:spacing w:lineRule="auto" w:line="360" w:before="120" w:after="120"/>
        <w:contextualSpacing/>
        <w:rPr>
          <w:rFonts w:cs="Arial"/>
          <w:sz w:val="24"/>
          <w:szCs w:val="24"/>
        </w:rPr>
      </w:pPr>
      <w:r>
        <w:rPr>
          <w:rFonts w:cs="Arial"/>
          <w:sz w:val="24"/>
          <w:szCs w:val="24"/>
        </w:rPr>
      </w:r>
    </w:p>
    <w:p>
      <w:pPr>
        <w:pStyle w:val="Normal"/>
        <w:widowControl/>
        <w:spacing w:lineRule="auto" w:line="360"/>
        <w:rPr>
          <w:rFonts w:eastAsia="Times New Roman"/>
          <w:kern w:val="2"/>
          <w:sz w:val="24"/>
          <w:szCs w:val="24"/>
          <w:highlight w:val="yellow"/>
        </w:rPr>
      </w:pPr>
      <w:r>
        <w:rPr>
          <w:rFonts w:eastAsia="Times New Roman"/>
          <w:kern w:val="2"/>
          <w:sz w:val="24"/>
          <w:szCs w:val="24"/>
        </w:rPr>
        <w:t xml:space="preserve">Предлагается при </w:t>
      </w:r>
      <w:r>
        <w:rPr>
          <w:rFonts w:eastAsia="Times New Roman"/>
          <w:sz w:val="24"/>
          <w:szCs w:val="24"/>
        </w:rPr>
        <w:t>разработке</w:t>
      </w:r>
      <w:r>
        <w:rPr>
          <w:rFonts w:eastAsia="Times New Roman"/>
          <w:kern w:val="2"/>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pPr>
        <w:pStyle w:val="Normal"/>
        <w:widowControl/>
        <w:spacing w:lineRule="auto" w:line="360"/>
        <w:rPr>
          <w:rFonts w:eastAsia="Times New Roman"/>
          <w:sz w:val="24"/>
          <w:szCs w:val="24"/>
          <w:highlight w:val="yellow"/>
        </w:rPr>
      </w:pPr>
      <w:r>
        <w:rPr>
          <w:rFonts w:eastAsia="Times New Roman"/>
          <w:sz w:val="24"/>
          <w:szCs w:val="24"/>
        </w:rPr>
        <w:t>1. Обеспечить полное удовлетворение перспективного потребление тепловой энергии при соблюдении на всем периоде действия схемы теплоснабжения 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Pr>
          <w:rFonts w:eastAsia="Times New Roman"/>
          <w:sz w:val="24"/>
          <w:szCs w:val="24"/>
          <w:vertAlign w:val="superscript"/>
        </w:rPr>
        <w:t>2</w:t>
      </w:r>
      <w:r>
        <w:rPr>
          <w:rFonts w:eastAsia="Times New Roman"/>
          <w:sz w:val="24"/>
          <w:szCs w:val="24"/>
        </w:rPr>
        <w:t xml:space="preserve"> до 2028 года, ввод площади индивидуальных жилых домов 771 тыс. м</w:t>
      </w:r>
      <w:r>
        <w:rPr>
          <w:rFonts w:eastAsia="Times New Roman"/>
          <w:sz w:val="24"/>
          <w:szCs w:val="24"/>
          <w:vertAlign w:val="superscript"/>
        </w:rPr>
        <w:t>2</w:t>
      </w:r>
      <w:r>
        <w:rPr>
          <w:rFonts w:eastAsia="Times New Roman"/>
          <w:sz w:val="24"/>
          <w:szCs w:val="24"/>
        </w:rPr>
        <w:t>, ввод площади общественно-деловых зданий – 1237 тыс. м</w:t>
      </w:r>
      <w:r>
        <w:rPr>
          <w:rFonts w:eastAsia="Times New Roman"/>
          <w:sz w:val="24"/>
          <w:szCs w:val="24"/>
          <w:vertAlign w:val="superscript"/>
        </w:rPr>
        <w:t>2</w:t>
      </w:r>
      <w:r>
        <w:rPr>
          <w:rFonts w:eastAsia="Times New Roman"/>
          <w:sz w:val="24"/>
          <w:szCs w:val="24"/>
        </w:rPr>
        <w:t>.</w:t>
      </w:r>
    </w:p>
    <w:p>
      <w:pPr>
        <w:pStyle w:val="Normal"/>
        <w:widowControl/>
        <w:spacing w:lineRule="auto" w:line="360"/>
        <w:rPr>
          <w:rFonts w:eastAsia="Times New Roman"/>
          <w:sz w:val="24"/>
          <w:szCs w:val="24"/>
        </w:rPr>
      </w:pPr>
      <w:r>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2024 г.).</w:t>
      </w:r>
    </w:p>
    <w:p>
      <w:pPr>
        <w:pStyle w:val="Normal"/>
        <w:widowControl/>
        <w:spacing w:lineRule="auto" w:line="360"/>
        <w:rPr>
          <w:rFonts w:eastAsia="Times New Roman"/>
          <w:sz w:val="24"/>
          <w:szCs w:val="24"/>
          <w:highlight w:val="yellow"/>
        </w:rPr>
      </w:pPr>
      <w:r>
        <w:rPr>
          <w:rFonts w:eastAsia="Times New Roman"/>
          <w:kern w:val="2"/>
          <w:sz w:val="24"/>
          <w:szCs w:val="24"/>
        </w:rPr>
        <w:t xml:space="preserve">3. При </w:t>
      </w:r>
      <w:r>
        <w:rPr>
          <w:rFonts w:eastAsia="Times New Roman"/>
          <w:sz w:val="24"/>
          <w:szCs w:val="24"/>
        </w:rPr>
        <w:t>разработке</w:t>
      </w:r>
      <w:r>
        <w:rPr>
          <w:rFonts w:eastAsia="Times New Roman"/>
          <w:kern w:val="2"/>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pPr>
        <w:pStyle w:val="Normal"/>
        <w:widowControl/>
        <w:spacing w:lineRule="auto" w:line="360"/>
        <w:rPr>
          <w:rFonts w:eastAsia="Times New Roman"/>
          <w:sz w:val="24"/>
          <w:szCs w:val="24"/>
          <w:highlight w:val="yellow"/>
        </w:rPr>
      </w:pPr>
      <w:r>
        <w:rPr>
          <w:rFonts w:eastAsia="Times New Roman"/>
          <w:sz w:val="24"/>
          <w:szCs w:val="24"/>
        </w:rPr>
        <w:t xml:space="preserve">4. </w:t>
      </w:r>
      <w:r>
        <w:rPr>
          <w:rFonts w:eastAsia="Times New Roman"/>
          <w:kern w:val="2"/>
          <w:sz w:val="24"/>
          <w:szCs w:val="24"/>
        </w:rPr>
        <w:t xml:space="preserve">Обеспечить переход к преимущественной продаже ресурсов на основе измерений их расхода. </w:t>
      </w:r>
      <w:r>
        <w:rPr>
          <w:rFonts w:eastAsia="Times New Roman"/>
          <w:sz w:val="24"/>
          <w:szCs w:val="24"/>
        </w:rPr>
        <w:t>С этой целью:</w:t>
      </w:r>
    </w:p>
    <w:p>
      <w:pPr>
        <w:pStyle w:val="Normal"/>
        <w:widowControl/>
        <w:spacing w:lineRule="auto" w:line="360"/>
        <w:ind w:firstLine="567" w:left="567"/>
        <w:rPr>
          <w:rFonts w:eastAsia="Times New Roman"/>
          <w:sz w:val="24"/>
          <w:szCs w:val="24"/>
        </w:rPr>
      </w:pPr>
      <w:r>
        <w:rPr>
          <w:rFonts w:eastAsia="Times New Roman"/>
          <w:sz w:val="24"/>
          <w:szCs w:val="24"/>
        </w:rPr>
        <w:t xml:space="preserve">4.1. Установить приборы учета тепловой энергии на 100 % всех зданий бюджетных учреждений города к 2015 г. </w:t>
      </w:r>
    </w:p>
    <w:p>
      <w:pPr>
        <w:pStyle w:val="Normal"/>
        <w:widowControl/>
        <w:spacing w:lineRule="auto" w:line="360"/>
        <w:ind w:firstLine="567" w:left="567"/>
        <w:rPr>
          <w:rFonts w:eastAsia="Times New Roman"/>
          <w:sz w:val="24"/>
          <w:szCs w:val="24"/>
        </w:rPr>
      </w:pPr>
      <w:r>
        <w:rPr>
          <w:rFonts w:eastAsia="Times New Roman"/>
          <w:sz w:val="24"/>
          <w:szCs w:val="24"/>
        </w:rPr>
        <w:t xml:space="preserve">4.2. Установить приборы учета топлива на 100 % всех индивидуальных жилых зданий города к 2015 г. </w:t>
      </w:r>
    </w:p>
    <w:p>
      <w:pPr>
        <w:pStyle w:val="Normal"/>
        <w:widowControl/>
        <w:spacing w:lineRule="auto" w:line="360"/>
        <w:ind w:firstLine="567" w:left="567"/>
        <w:rPr>
          <w:rFonts w:eastAsia="Times New Roman"/>
          <w:sz w:val="24"/>
          <w:szCs w:val="24"/>
        </w:rPr>
      </w:pPr>
      <w:r>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100 % многоквартирных домов с тепловой нагрузкой выше 0,2 Гкал/ч до 2015 г. установить приборы учета.</w:t>
      </w:r>
    </w:p>
    <w:p>
      <w:pPr>
        <w:pStyle w:val="Normal"/>
        <w:widowControl/>
        <w:spacing w:lineRule="auto" w:line="360"/>
        <w:rPr>
          <w:rFonts w:eastAsia="Times New Roman"/>
          <w:sz w:val="24"/>
          <w:szCs w:val="24"/>
          <w:highlight w:val="yellow"/>
        </w:rPr>
      </w:pPr>
      <w:r>
        <w:rPr>
          <w:rFonts w:eastAsia="Times New Roman"/>
          <w:sz w:val="24"/>
          <w:szCs w:val="24"/>
        </w:rPr>
        <w:t>5. Обеспечить надежность поставки тепловой энергии, для чего:</w:t>
      </w:r>
    </w:p>
    <w:p>
      <w:pPr>
        <w:pStyle w:val="Normal"/>
        <w:widowControl/>
        <w:spacing w:lineRule="auto" w:line="360"/>
        <w:ind w:firstLine="567" w:left="567"/>
        <w:rPr>
          <w:rFonts w:eastAsia="Times New Roman"/>
          <w:sz w:val="24"/>
          <w:szCs w:val="24"/>
          <w:highlight w:val="yellow"/>
        </w:rPr>
      </w:pPr>
      <w:r>
        <w:rPr>
          <w:rFonts w:eastAsia="Times New Roman"/>
          <w:sz w:val="24"/>
          <w:szCs w:val="24"/>
        </w:rPr>
        <w:t>5.1. Не допускать увеличения количества инцидентов на сетях теплоснабжения по отношению к уровню 2012 года.</w:t>
      </w:r>
    </w:p>
    <w:p>
      <w:pPr>
        <w:pStyle w:val="Normal"/>
        <w:widowControl/>
        <w:spacing w:lineRule="auto" w:line="360"/>
        <w:ind w:firstLine="567" w:left="567"/>
        <w:rPr>
          <w:rFonts w:eastAsia="Times New Roman"/>
          <w:sz w:val="24"/>
          <w:szCs w:val="24"/>
          <w:highlight w:val="yellow"/>
        </w:rPr>
      </w:pPr>
      <w:r>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pPr>
        <w:pStyle w:val="Normal"/>
        <w:widowControl/>
        <w:spacing w:lineRule="auto" w:line="360"/>
        <w:ind w:firstLine="567" w:left="567"/>
        <w:rPr>
          <w:rFonts w:eastAsia="Times New Roman"/>
          <w:sz w:val="24"/>
          <w:szCs w:val="24"/>
          <w:highlight w:val="yellow"/>
        </w:rPr>
      </w:pPr>
      <w:r>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 теплоснабжения с истекающими нормативными сроками эксплуатации.</w:t>
      </w:r>
    </w:p>
    <w:p>
      <w:pPr>
        <w:pStyle w:val="Normal"/>
        <w:widowControl/>
        <w:spacing w:lineRule="auto" w:line="360"/>
        <w:ind w:firstLine="567" w:left="567"/>
        <w:rPr>
          <w:rFonts w:eastAsia="Times New Roman"/>
          <w:sz w:val="24"/>
          <w:szCs w:val="24"/>
          <w:highlight w:val="yellow"/>
        </w:rPr>
      </w:pPr>
      <w:r>
        <w:rPr>
          <w:rFonts w:eastAsia="Times New Roman"/>
          <w:sz w:val="24"/>
          <w:szCs w:val="24"/>
        </w:rPr>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pPr>
        <w:pStyle w:val="Normal"/>
        <w:widowControl/>
        <w:spacing w:lineRule="auto" w:line="360"/>
        <w:ind w:firstLine="567" w:left="567"/>
        <w:rPr>
          <w:rFonts w:eastAsia="Times New Roman"/>
          <w:sz w:val="24"/>
          <w:szCs w:val="24"/>
          <w:highlight w:val="yellow"/>
        </w:rPr>
      </w:pPr>
      <w:r>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pPr>
        <w:pStyle w:val="Normal"/>
        <w:widowControl/>
        <w:spacing w:lineRule="auto" w:line="360"/>
        <w:rPr>
          <w:rFonts w:eastAsia="Times New Roman"/>
          <w:sz w:val="24"/>
          <w:szCs w:val="24"/>
          <w:highlight w:val="yellow"/>
        </w:rPr>
      </w:pPr>
      <w:r>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pPr>
        <w:pStyle w:val="Normal"/>
        <w:widowControl/>
        <w:spacing w:lineRule="auto" w:line="360"/>
        <w:ind w:firstLine="567" w:left="567"/>
        <w:rPr>
          <w:rFonts w:eastAsia="Times New Roman"/>
          <w:sz w:val="24"/>
          <w:szCs w:val="24"/>
        </w:rPr>
      </w:pPr>
      <w:r>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pPr>
        <w:pStyle w:val="Normal"/>
        <w:widowControl/>
        <w:spacing w:lineRule="auto" w:line="360"/>
        <w:ind w:firstLine="567" w:left="567"/>
        <w:rPr>
          <w:rFonts w:eastAsia="Times New Roman"/>
          <w:sz w:val="24"/>
          <w:szCs w:val="24"/>
          <w:highlight w:val="yellow"/>
        </w:rPr>
      </w:pPr>
      <w:r>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pPr>
        <w:pStyle w:val="Normal"/>
        <w:widowControl/>
        <w:spacing w:lineRule="auto" w:line="360"/>
        <w:ind w:firstLine="567" w:left="567"/>
        <w:rPr>
          <w:rFonts w:eastAsia="Times New Roman"/>
          <w:sz w:val="24"/>
          <w:szCs w:val="24"/>
          <w:highlight w:val="yellow"/>
        </w:rPr>
      </w:pPr>
      <w:r>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pPr>
        <w:pStyle w:val="Normal"/>
        <w:widowControl/>
        <w:spacing w:lineRule="auto" w:line="360"/>
        <w:textAlignment w:val="auto"/>
        <w:rPr>
          <w:rFonts w:eastAsia="Times New Roman" w:cs="Arial"/>
          <w:spacing w:val="0"/>
          <w:sz w:val="24"/>
          <w:lang w:eastAsia="ru-RU"/>
        </w:rPr>
      </w:pPr>
      <w:r>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10-11 % от отпуска теплоты в сети).</w:t>
      </w:r>
    </w:p>
    <w:p>
      <w:pPr>
        <w:pStyle w:val="Heading1"/>
        <w:numPr>
          <w:ilvl w:val="0"/>
          <w:numId w:val="0"/>
        </w:numPr>
        <w:ind w:hanging="0" w:left="1211"/>
        <w:rPr/>
      </w:pPr>
      <w:bookmarkStart w:id="213" w:name="_Toc132981705"/>
      <w:r>
        <w:rPr>
          <w:rStyle w:val="d6e2e5f2eee2eee5e2fbe4e5ebe5ede8e5e4ebffd2e5eaf1f2"/>
          <w:rFonts w:cs="Arial"/>
        </w:rPr>
        <w:t xml:space="preserve">Раздел 14. </w:t>
      </w:r>
      <w:r>
        <w:rPr/>
        <w:t>Ценовые (тарифные) последствия</w:t>
      </w:r>
      <w:bookmarkEnd w:id="213"/>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Тарифы на тепловую энергию в муниципальном образовании Город Калуга устанавливаются Министерством конкурентной политики Калужской области.</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2023 год приведены в таблице 14.1. В таблицах 14.2, 14.3., 14.4, 14.5 представлены тарифы на тепловую энергию организаций и динамика их изменений за 2018-2025 гг. В таблицах 14.6, 14.7., 14.8. представлена плата за подключение к системам теплоснабжения и горячего водоснабжения.</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r>
    </w:p>
    <w:p>
      <w:pPr>
        <w:sectPr>
          <w:headerReference w:type="default" r:id="rId170"/>
          <w:headerReference w:type="first" r:id="rId171"/>
          <w:footerReference w:type="default" r:id="rId172"/>
          <w:footerReference w:type="first" r:id="rId173"/>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before="120" w:after="0"/>
        <w:ind w:firstLine="709" w:right="-1"/>
        <w:rPr>
          <w:rFonts w:eastAsia="Arial" w:cs="Arial"/>
          <w:spacing w:val="-4"/>
          <w:sz w:val="24"/>
          <w:szCs w:val="24"/>
        </w:rPr>
      </w:pPr>
      <w:r>
        <w:rPr>
          <w:rFonts w:eastAsia="Arial" w:cs="Arial"/>
          <w:spacing w:val="-4"/>
          <w:sz w:val="24"/>
          <w:szCs w:val="24"/>
        </w:rPr>
      </w:r>
    </w:p>
    <w:p>
      <w:pPr>
        <w:pStyle w:val="Normal"/>
        <w:spacing w:before="120" w:after="200"/>
        <w:ind w:hanging="0"/>
        <w:rPr>
          <w:b/>
          <w:bCs/>
          <w:sz w:val="20"/>
          <w:szCs w:val="20"/>
        </w:rPr>
      </w:pPr>
      <w:bookmarkStart w:id="214" w:name="_Toc132971388"/>
      <w:bookmarkStart w:id="215" w:name="_Toc71036193"/>
      <w:r>
        <w:rPr>
          <w:b/>
          <w:bCs/>
          <w:sz w:val="20"/>
          <w:szCs w:val="20"/>
        </w:rPr>
        <w:t>Таблица 14.1</w:t>
      </w:r>
      <w:r>
        <w:rPr>
          <w:b/>
          <w:bCs/>
          <w:sz w:val="20"/>
          <w:szCs w:val="20"/>
          <w:lang w:eastAsia="ru-RU"/>
        </w:rPr>
        <w:t xml:space="preserve"> </w:t>
      </w:r>
      <w:r>
        <w:rPr>
          <w:b/>
          <w:bCs/>
          <w:sz w:val="20"/>
          <w:szCs w:val="20"/>
        </w:rPr>
        <w:t xml:space="preserve">– Смета затрат теплоснабжающих организаций г. Калуги, утверждённых в тарифах на тепловую энергию 2025 года </w:t>
      </w:r>
    </w:p>
    <w:tbl>
      <w:tblPr>
        <w:tblW w:w="14912" w:type="dxa"/>
        <w:jc w:val="left"/>
        <w:tblInd w:w="0" w:type="dxa"/>
        <w:tblLayout w:type="fixed"/>
        <w:tblCellMar>
          <w:top w:w="0" w:type="dxa"/>
          <w:left w:w="28" w:type="dxa"/>
          <w:bottom w:w="0" w:type="dxa"/>
          <w:right w:w="28" w:type="dxa"/>
        </w:tblCellMar>
        <w:tblLook w:firstRow="0" w:noVBand="0" w:lastRow="0" w:firstColumn="0" w:lastColumn="0" w:noHBand="0" w:val="0000"/>
      </w:tblPr>
      <w:tblGrid>
        <w:gridCol w:w="736"/>
        <w:gridCol w:w="4395"/>
        <w:gridCol w:w="1133"/>
        <w:gridCol w:w="1135"/>
        <w:gridCol w:w="1133"/>
        <w:gridCol w:w="1135"/>
        <w:gridCol w:w="1275"/>
        <w:gridCol w:w="993"/>
        <w:gridCol w:w="993"/>
        <w:gridCol w:w="992"/>
        <w:gridCol w:w="990"/>
      </w:tblGrid>
      <w:tr>
        <w:trPr>
          <w:tblHeader w:val="true"/>
          <w:trHeight w:val="731" w:hRule="atLeast"/>
        </w:trPr>
        <w:tc>
          <w:tcPr>
            <w:tcW w:w="73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8"/>
                <w:lang w:eastAsia="ru-RU"/>
              </w:rPr>
            </w:pPr>
            <w:r>
              <w:rPr>
                <w:rFonts w:eastAsia="Times New Roman"/>
                <w:b/>
                <w:bCs/>
                <w:spacing w:val="0"/>
                <w:sz w:val="18"/>
                <w:lang w:eastAsia="ru-RU"/>
              </w:rPr>
              <w:t xml:space="preserve">№ </w:t>
            </w:r>
            <w:r>
              <w:rPr>
                <w:rFonts w:eastAsia="Times New Roman"/>
                <w:b/>
                <w:bCs/>
                <w:spacing w:val="0"/>
                <w:sz w:val="18"/>
                <w:lang w:eastAsia="ru-RU"/>
              </w:rPr>
              <w:t>п/п</w:t>
            </w:r>
          </w:p>
        </w:tc>
        <w:tc>
          <w:tcPr>
            <w:tcW w:w="439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8"/>
                <w:lang w:eastAsia="ru-RU"/>
              </w:rPr>
            </w:pPr>
            <w:r>
              <w:rPr>
                <w:rFonts w:eastAsia="Times New Roman"/>
                <w:b/>
                <w:bCs/>
                <w:spacing w:val="0"/>
                <w:sz w:val="18"/>
                <w:lang w:eastAsia="ru-RU"/>
              </w:rPr>
              <w:t>Наименование показателя</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8"/>
                <w:lang w:eastAsia="ru-RU"/>
              </w:rPr>
            </w:pPr>
            <w:r>
              <w:rPr>
                <w:rFonts w:eastAsia="Times New Roman"/>
                <w:b/>
                <w:bCs/>
                <w:spacing w:val="0"/>
                <w:sz w:val="18"/>
                <w:lang w:eastAsia="ru-RU"/>
              </w:rPr>
              <w:t>Единица измерения</w:t>
            </w:r>
          </w:p>
        </w:tc>
        <w:tc>
          <w:tcPr>
            <w:tcW w:w="8646" w:type="dxa"/>
            <w:gridSpan w:val="8"/>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8"/>
                <w:lang w:eastAsia="ru-RU"/>
              </w:rPr>
            </w:pPr>
            <w:r>
              <w:rPr>
                <w:rFonts w:eastAsia="Times New Roman"/>
                <w:b/>
                <w:bCs/>
                <w:spacing w:val="0"/>
                <w:sz w:val="18"/>
                <w:lang w:eastAsia="ru-RU"/>
              </w:rPr>
              <w:t>МУП «Калугатеплосеть» г.</w:t>
            </w:r>
            <w:r>
              <w:rPr>
                <w:rFonts w:eastAsia="Times New Roman"/>
                <w:b/>
                <w:bCs/>
                <w:spacing w:val="0"/>
                <w:sz w:val="18"/>
                <w:lang w:val="en-US" w:eastAsia="ru-RU"/>
              </w:rPr>
              <w:t xml:space="preserve"> </w:t>
            </w:r>
            <w:r>
              <w:rPr>
                <w:rFonts w:eastAsia="Times New Roman"/>
                <w:b/>
                <w:bCs/>
                <w:spacing w:val="0"/>
                <w:sz w:val="18"/>
                <w:lang w:eastAsia="ru-RU"/>
              </w:rPr>
              <w:t>Калуги</w:t>
            </w:r>
          </w:p>
        </w:tc>
      </w:tr>
      <w:tr>
        <w:trPr>
          <w:tblHeader w:val="true"/>
          <w:trHeight w:val="360" w:hRule="atLeast"/>
        </w:trPr>
        <w:tc>
          <w:tcPr>
            <w:tcW w:w="73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4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113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226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Тариф на т/энергию по системам теплоснабжения от собственных источников т/энергиии, кроме (ул.Баррикад,181а; ул.Вишневского,1; ул. Ипподромная,37; ул.Кропоткина,4а; ул.Тарутинская,171; ул.Широкая,51б)</w:t>
            </w:r>
          </w:p>
        </w:tc>
        <w:tc>
          <w:tcPr>
            <w:tcW w:w="24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cs="Arial"/>
                <w:b/>
                <w:spacing w:val="0"/>
                <w:sz w:val="12"/>
                <w:szCs w:val="12"/>
                <w:lang w:eastAsia="ru-RU"/>
              </w:rPr>
            </w:pPr>
            <w:r>
              <w:rPr>
                <w:rFonts w:eastAsia="Times New Roman"/>
                <w:b/>
                <w:bCs/>
                <w:spacing w:val="0"/>
                <w:sz w:val="12"/>
                <w:szCs w:val="12"/>
                <w:lang w:eastAsia="ru-RU"/>
              </w:rPr>
              <w:t>Тариф на т/энергию по системам теплоснабжения от собственных источников т/энергиии, по следующим (ул.Баррикад,181а; ул.Вишневского,1; ул. Ипподромная,37; ул.Кропоткина,4а; ул.Тарутинская,171; ул.Широкая,51б)</w:t>
            </w:r>
          </w:p>
        </w:tc>
        <w:tc>
          <w:tcPr>
            <w:tcW w:w="1986" w:type="dxa"/>
            <w:gridSpan w:val="2"/>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Тарифы на тепловую энергию по системе теплоснабжения котельной расположенной  д.Чижовка микрорайон Веснушки</w:t>
            </w:r>
          </w:p>
        </w:tc>
        <w:tc>
          <w:tcPr>
            <w:tcW w:w="1982" w:type="dxa"/>
            <w:gridSpan w:val="2"/>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Тарифы на услуги   по передаче тепловой энергии</w:t>
            </w:r>
          </w:p>
        </w:tc>
      </w:tr>
      <w:tr>
        <w:trPr>
          <w:tblHeader w:val="true"/>
          <w:trHeight w:val="265" w:hRule="atLeast"/>
        </w:trPr>
        <w:tc>
          <w:tcPr>
            <w:tcW w:w="73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4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113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textAlignment w:val="auto"/>
              <w:rPr>
                <w:rFonts w:eastAsia="Times New Roman" w:cs="Arial"/>
                <w:b/>
                <w:spacing w:val="0"/>
                <w:sz w:val="24"/>
                <w:szCs w:val="24"/>
                <w:lang w:eastAsia="ru-RU"/>
              </w:rPr>
            </w:pPr>
            <w:r>
              <w:rPr>
                <w:rFonts w:eastAsia="Times New Roman" w:cs="Arial"/>
                <w:b/>
                <w:spacing w:val="0"/>
                <w:sz w:val="24"/>
                <w:szCs w:val="24"/>
                <w:lang w:eastAsia="ru-RU"/>
              </w:rPr>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1-е полугодие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2-е полугодие</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1-е полугодие</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2-е полугодие</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1-е полугодие</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2-е полугодие</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1-е полугодие</w:t>
            </w:r>
          </w:p>
        </w:tc>
        <w:tc>
          <w:tcPr>
            <w:tcW w:w="99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b/>
                <w:bCs/>
                <w:spacing w:val="0"/>
                <w:sz w:val="12"/>
                <w:szCs w:val="12"/>
                <w:lang w:eastAsia="ru-RU"/>
              </w:rPr>
            </w:pPr>
            <w:r>
              <w:rPr>
                <w:rFonts w:eastAsia="Times New Roman"/>
                <w:b/>
                <w:bCs/>
                <w:spacing w:val="0"/>
                <w:sz w:val="12"/>
                <w:szCs w:val="12"/>
                <w:lang w:eastAsia="ru-RU"/>
              </w:rPr>
              <w:t>2-е полугодие</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Энергоресурсы (газ, электроэнергия, вода, водоотведения, покупная тепловая энергия)</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1 244 926,5512</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928 271,3539</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17 653,0776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13 754,0396</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15 424,5638</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13 237,6912</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27 923,7062</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20 454,6932</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З/п и отчисления на социальные нужды</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403 394,066</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300 788,1513</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9 106,7786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7 095,3629</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5 334,43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4 578,12</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13 231,6734</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9 692,4749</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Расход на приобретения материалов, ремонт основных средств, услуги сторонних организаций.</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74 782,172</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55 760,8383</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7 318,9422</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568,1354</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558,7112</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479,4982</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2 048,4561</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1 500,5365</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Служебные командировки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18,6644</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13,9170</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Обучение персонала</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522,0110</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389,2341</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6,4885</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5,0554</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1,0128</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0,7419</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Арендные платежи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989,0565</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737,4835</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2,6932</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2,0983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0,0514</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0,0441</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3,9030</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2,8590</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Налоги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11 226,5741</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8 371,0217</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557,2145</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434,1425</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1 074,21</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921,9091</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494,1403</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361,9680</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Амортизация</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37 949,2979</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28 296,6461</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660,9606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514,9741</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79,4636</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68,1974</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991,3871</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726,2116</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Расходы по договорам займа, кредитным договорам, процентам по ним</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Суммарная корректировка НВВ</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Прибыль</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235 468,7048</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175 575,7022</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44,6244</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38,2975</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514,5241</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376,8996</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Итого расходы, в т ч. </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1"/>
                <w:numId w:val="33"/>
              </w:numPr>
              <w:spacing w:before="0" w:after="120"/>
              <w:ind w:hanging="432" w:left="574"/>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корректировка</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- 101 634,2529</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- 75 782,9171</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-1 430,5077</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-1 227,6923</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461,1085</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337,7715</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1"/>
                <w:numId w:val="33"/>
              </w:numPr>
              <w:spacing w:before="0" w:after="120"/>
              <w:ind w:hanging="432" w:left="574"/>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неподконтрольные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124 849,7289</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292 288,6375</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3 345,5589</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2 606,6247</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2 391,0493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2 052,0498</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4 558,5282</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3 339,2164</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1"/>
                <w:numId w:val="33"/>
              </w:numPr>
              <w:spacing w:before="0" w:after="120"/>
              <w:ind w:hanging="432" w:left="574"/>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операционные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361 442,933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269 507,5631</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7 717,7688</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6 013,1439</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4 655,8187</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3 995,7234</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12 212,0445</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8 945,5756</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1"/>
                <w:numId w:val="33"/>
              </w:numPr>
              <w:spacing w:before="0" w:after="120"/>
              <w:ind w:hanging="432" w:left="574"/>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энергоресурсы</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1 244 926,5512</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928 271,3539</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17 653,0776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13 754,0396</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15 424,5638</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13 237,6912</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27 923,7062</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20 454,6932</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1"/>
                <w:numId w:val="33"/>
              </w:numPr>
              <w:spacing w:before="0" w:after="120"/>
              <w:ind w:hanging="432" w:left="574"/>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прибыль</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235 468,7048</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175 575,7022</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44,6244</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38,2975</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514,5241</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376,8996</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Объем тепловой энергии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Тыс./Гкал</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764,2708</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509,15969</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9,2513</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6,3537</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10,0023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7,5851</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114,4638</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79,3809</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Тариф на тепловую энергию</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left"/>
              <w:textAlignment w:val="auto"/>
              <w:rPr>
                <w:rFonts w:eastAsia="Times New Roman"/>
                <w:spacing w:val="0"/>
                <w:sz w:val="18"/>
                <w:lang w:eastAsia="ru-RU"/>
              </w:rPr>
            </w:pPr>
            <w:r>
              <w:rPr>
                <w:rFonts w:eastAsia="Times New Roman"/>
                <w:spacing w:val="0"/>
                <w:sz w:val="18"/>
                <w:lang w:eastAsia="ru-RU"/>
              </w:rPr>
              <w:t>Руб./ Гкал</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2 496,03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2 793,68</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3 104,04</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3 521,38</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2 108,07</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2 385,74</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398,99</w:t>
            </w:r>
          </w:p>
        </w:tc>
        <w:tc>
          <w:tcPr>
            <w:tcW w:w="990" w:type="dxa"/>
            <w:tcBorders>
              <w:top w:val="single" w:sz="4" w:space="0" w:color="000000"/>
              <w:left w:val="single" w:sz="4" w:space="0" w:color="000000"/>
              <w:bottom w:val="single" w:sz="4" w:space="0" w:color="000000"/>
              <w:right w:val="single" w:sz="4" w:space="0" w:color="000000"/>
            </w:tcBorders>
          </w:tcPr>
          <w:p>
            <w:pPr>
              <w:pStyle w:val="Normal"/>
              <w:widowControl/>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421,44</w:t>
            </w:r>
          </w:p>
        </w:tc>
      </w:tr>
    </w:tbl>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r>
    </w:p>
    <w:p>
      <w:pPr>
        <w:pStyle w:val="Normal"/>
        <w:spacing w:before="120" w:after="200"/>
        <w:ind w:hanging="0"/>
        <w:rPr>
          <w:b/>
          <w:bCs/>
          <w:sz w:val="18"/>
          <w:szCs w:val="18"/>
        </w:rPr>
      </w:pPr>
      <w:r>
        <w:rPr>
          <w:b/>
          <w:bCs/>
          <w:sz w:val="18"/>
          <w:szCs w:val="18"/>
        </w:rPr>
        <w:t>Таблица 14.2</w:t>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2023 года</w:t>
      </w:r>
      <w:bookmarkEnd w:id="214"/>
      <w:bookmarkEnd w:id="215"/>
      <w:r>
        <w:rPr>
          <w:b/>
          <w:bCs/>
          <w:sz w:val="18"/>
          <w:szCs w:val="18"/>
        </w:rPr>
        <w:t xml:space="preserve"> </w:t>
      </w:r>
    </w:p>
    <w:tbl>
      <w:tblPr>
        <w:tblStyle w:val="aff"/>
        <w:tblW w:w="1442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53"/>
        <w:gridCol w:w="1559"/>
        <w:gridCol w:w="1419"/>
        <w:gridCol w:w="1700"/>
        <w:gridCol w:w="1560"/>
        <w:gridCol w:w="1275"/>
        <w:gridCol w:w="1559"/>
      </w:tblGrid>
      <w:tr>
        <w:trPr>
          <w:tblHeader w:val="true"/>
          <w:trHeight w:val="57" w:hRule="atLeast"/>
        </w:trPr>
        <w:tc>
          <w:tcPr>
            <w:tcW w:w="5353" w:type="dxa"/>
            <w:tcBorders/>
            <w:vAlign w:val="center"/>
          </w:tcPr>
          <w:p>
            <w:pPr>
              <w:pStyle w:val="Normal"/>
              <w:spacing w:before="120" w:after="200"/>
              <w:ind w:hanging="0" w:left="294"/>
              <w:jc w:val="center"/>
              <w:rPr>
                <w:b/>
                <w:bCs/>
                <w:sz w:val="16"/>
                <w:szCs w:val="16"/>
              </w:rPr>
            </w:pPr>
            <w:r>
              <w:rPr>
                <w:rFonts w:cs="Times New Roman"/>
                <w:b/>
                <w:bCs/>
                <w:kern w:val="0"/>
                <w:sz w:val="16"/>
                <w:szCs w:val="16"/>
                <w:lang w:val="ru-RU" w:bidi="ar-SA"/>
              </w:rPr>
              <w:t>Статья расходов</w:t>
            </w:r>
          </w:p>
        </w:tc>
        <w:tc>
          <w:tcPr>
            <w:tcW w:w="1559" w:type="dxa"/>
            <w:tcBorders/>
            <w:vAlign w:val="center"/>
          </w:tcPr>
          <w:p>
            <w:pPr>
              <w:pStyle w:val="Normal"/>
              <w:spacing w:before="120" w:after="200"/>
              <w:ind w:hanging="0" w:left="46"/>
              <w:jc w:val="center"/>
              <w:rPr>
                <w:b/>
                <w:bCs/>
                <w:sz w:val="16"/>
                <w:szCs w:val="16"/>
              </w:rPr>
            </w:pPr>
            <w:r>
              <w:rPr>
                <w:rFonts w:cs="Times New Roman"/>
                <w:b/>
                <w:bCs/>
                <w:kern w:val="0"/>
                <w:sz w:val="16"/>
                <w:szCs w:val="16"/>
                <w:lang w:val="ru-RU" w:bidi="ar-SA"/>
              </w:rPr>
              <w:t>АО «Калужский завод путевых машини гидроприводов»</w:t>
            </w:r>
          </w:p>
        </w:tc>
        <w:tc>
          <w:tcPr>
            <w:tcW w:w="4679" w:type="dxa"/>
            <w:gridSpan w:val="3"/>
            <w:tcBorders/>
            <w:vAlign w:val="center"/>
          </w:tcPr>
          <w:p>
            <w:pPr>
              <w:pStyle w:val="Normal"/>
              <w:spacing w:before="120" w:after="200"/>
              <w:ind w:hanging="0" w:left="317"/>
              <w:jc w:val="center"/>
              <w:rPr>
                <w:b/>
                <w:bCs/>
                <w:sz w:val="16"/>
                <w:szCs w:val="16"/>
              </w:rPr>
            </w:pPr>
            <w:r>
              <w:rPr>
                <w:rFonts w:cs="Times New Roman"/>
                <w:b/>
                <w:bCs/>
                <w:kern w:val="0"/>
                <w:sz w:val="16"/>
                <w:szCs w:val="16"/>
                <w:lang w:val="ru-RU" w:bidi="ar-SA"/>
              </w:rPr>
              <w:t>МУП «Калугатеплосеть» г. Калуги                                   (кот. д. Чижовка, мкрн. Веснушки,                                                                          Тариф с категорией потребителей «население», Тариф без категории потребителей «население»)</w:t>
            </w:r>
          </w:p>
        </w:tc>
        <w:tc>
          <w:tcPr>
            <w:tcW w:w="1275" w:type="dxa"/>
            <w:tcBorders/>
            <w:vAlign w:val="center"/>
          </w:tcPr>
          <w:p>
            <w:pPr>
              <w:pStyle w:val="Normal"/>
              <w:spacing w:before="120" w:after="200"/>
              <w:ind w:hanging="0" w:left="57"/>
              <w:jc w:val="center"/>
              <w:rPr>
                <w:b/>
                <w:bCs/>
                <w:sz w:val="16"/>
                <w:szCs w:val="16"/>
              </w:rPr>
            </w:pPr>
            <w:r>
              <w:rPr>
                <w:rFonts w:cs="Times New Roman"/>
                <w:b/>
                <w:bCs/>
                <w:kern w:val="0"/>
                <w:sz w:val="16"/>
                <w:szCs w:val="16"/>
                <w:lang w:val="ru-RU" w:bidi="ar-SA"/>
              </w:rPr>
              <w:t>АО «КНИИТМУ»</w:t>
            </w:r>
          </w:p>
        </w:tc>
        <w:tc>
          <w:tcPr>
            <w:tcW w:w="1559" w:type="dxa"/>
            <w:tcBorders/>
            <w:vAlign w:val="center"/>
          </w:tcPr>
          <w:p>
            <w:pPr>
              <w:pStyle w:val="Normal"/>
              <w:spacing w:before="120" w:after="200"/>
              <w:ind w:hanging="0" w:left="198"/>
              <w:jc w:val="center"/>
              <w:rPr>
                <w:b/>
                <w:bCs/>
                <w:sz w:val="16"/>
                <w:szCs w:val="16"/>
              </w:rPr>
            </w:pPr>
            <w:r>
              <w:rPr>
                <w:rFonts w:cs="Times New Roman"/>
                <w:b/>
                <w:bCs/>
                <w:kern w:val="0"/>
                <w:sz w:val="16"/>
                <w:szCs w:val="16"/>
                <w:lang w:val="ru-RU" w:bidi="ar-SA"/>
              </w:rPr>
              <w:t>ООО «Энерготранс»</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НВВ</w:t>
            </w:r>
          </w:p>
        </w:tc>
        <w:tc>
          <w:tcPr>
            <w:tcW w:w="1559" w:type="dxa"/>
            <w:tcBorders/>
          </w:tcPr>
          <w:p>
            <w:pPr>
              <w:pStyle w:val="Normal"/>
              <w:spacing w:before="120" w:after="200"/>
              <w:ind w:hanging="0" w:left="188" w:right="176"/>
              <w:jc w:val="center"/>
              <w:rPr>
                <w:bCs/>
                <w:sz w:val="18"/>
                <w:szCs w:val="18"/>
              </w:rPr>
            </w:pPr>
            <w:r>
              <w:rPr>
                <w:rFonts w:cs="Times New Roman"/>
                <w:bCs/>
                <w:kern w:val="0"/>
                <w:sz w:val="18"/>
                <w:szCs w:val="18"/>
                <w:lang w:val="ru-RU" w:bidi="ar-SA"/>
              </w:rPr>
              <w:t>81440,09</w:t>
            </w:r>
          </w:p>
        </w:tc>
        <w:tc>
          <w:tcPr>
            <w:tcW w:w="1419" w:type="dxa"/>
            <w:tcBorders/>
          </w:tcPr>
          <w:p>
            <w:pPr>
              <w:pStyle w:val="Normal"/>
              <w:spacing w:before="120" w:after="200"/>
              <w:ind w:hanging="0" w:left="34"/>
              <w:jc w:val="center"/>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27732,32</w:t>
            </w:r>
          </w:p>
        </w:tc>
        <w:tc>
          <w:tcPr>
            <w:tcW w:w="1700" w:type="dxa"/>
            <w:tcBorders/>
            <w:vAlign w:val="center"/>
          </w:tcPr>
          <w:p>
            <w:pPr>
              <w:pStyle w:val="Normal"/>
              <w:spacing w:before="120" w:after="200"/>
              <w:ind w:firstLine="57" w:left="0"/>
              <w:rPr>
                <w:bCs/>
                <w:sz w:val="18"/>
                <w:szCs w:val="18"/>
              </w:rPr>
            </w:pPr>
            <w:r>
              <w:rPr>
                <w:rFonts w:cs="Times New Roman"/>
                <w:bCs/>
                <w:kern w:val="0"/>
                <w:sz w:val="18"/>
                <w:szCs w:val="18"/>
                <w:lang w:val="ru-RU" w:bidi="ar-SA"/>
              </w:rPr>
              <w:t>2782493,28</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68623,19</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6179,29</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2210,47</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Налог на прибыль</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100,74</w:t>
            </w:r>
          </w:p>
        </w:tc>
        <w:tc>
          <w:tcPr>
            <w:tcW w:w="1419" w:type="dxa"/>
            <w:tcBorders/>
          </w:tcPr>
          <w:p>
            <w:pPr>
              <w:pStyle w:val="Normal"/>
              <w:spacing w:before="120" w:after="200"/>
              <w:ind w:hanging="0" w:left="34"/>
              <w:jc w:val="center"/>
              <w:rPr>
                <w:bCs/>
                <w:sz w:val="18"/>
                <w:szCs w:val="18"/>
              </w:rPr>
            </w:pPr>
            <w:r>
              <w:rPr>
                <w:rFonts w:cs="Times New Roman"/>
                <w:bCs/>
                <w:kern w:val="0"/>
                <w:sz w:val="18"/>
                <w:szCs w:val="18"/>
                <w:lang w:val="ru-RU" w:bidi="ar-SA"/>
              </w:rPr>
              <w:t>-</w:t>
            </w:r>
          </w:p>
        </w:tc>
        <w:tc>
          <w:tcPr>
            <w:tcW w:w="1700" w:type="dxa"/>
            <w:tcBorders/>
            <w:vAlign w:val="center"/>
          </w:tcPr>
          <w:p>
            <w:pPr>
              <w:pStyle w:val="Normal"/>
              <w:spacing w:before="120" w:after="200"/>
              <w:ind w:firstLine="567" w:left="0"/>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Итого расходов</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80187,14</w:t>
            </w:r>
          </w:p>
        </w:tc>
        <w:tc>
          <w:tcPr>
            <w:tcW w:w="1419" w:type="dxa"/>
            <w:tcBorders/>
          </w:tcPr>
          <w:p>
            <w:pPr>
              <w:pStyle w:val="Normal"/>
              <w:spacing w:before="120" w:after="200"/>
              <w:ind w:hanging="0" w:left="34"/>
              <w:jc w:val="center"/>
              <w:rPr>
                <w:bCs/>
                <w:sz w:val="18"/>
                <w:szCs w:val="18"/>
              </w:rPr>
            </w:pPr>
            <w:r>
              <w:rPr>
                <w:rFonts w:cs="Times New Roman"/>
                <w:bCs/>
                <w:kern w:val="0"/>
                <w:sz w:val="18"/>
                <w:szCs w:val="18"/>
                <w:lang w:val="ru-RU" w:bidi="ar-SA"/>
              </w:rPr>
              <w:t>27109,98</w:t>
            </w:r>
          </w:p>
        </w:tc>
        <w:tc>
          <w:tcPr>
            <w:tcW w:w="1700" w:type="dxa"/>
            <w:tcBorders/>
          </w:tcPr>
          <w:p>
            <w:pPr>
              <w:pStyle w:val="Normal"/>
              <w:spacing w:before="120" w:after="200"/>
              <w:ind w:firstLine="199" w:left="57"/>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2647850,44</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5980,58</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2169,15</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Налог по упращенной системе налогообложения</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34"/>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199" w:left="57"/>
              <w:rPr>
                <w:bCs/>
                <w:sz w:val="18"/>
                <w:szCs w:val="18"/>
              </w:rPr>
            </w:pPr>
            <w:r>
              <w:rPr>
                <w:rFonts w:cs="Times New Roman"/>
                <w:bCs/>
                <w:kern w:val="0"/>
                <w:sz w:val="18"/>
                <w:szCs w:val="18"/>
                <w:lang w:val="ru-RU" w:bidi="ar-SA"/>
              </w:rPr>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22,1</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Итого расходов (без налога на прибыль)</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80086,4</w:t>
            </w:r>
          </w:p>
        </w:tc>
        <w:tc>
          <w:tcPr>
            <w:tcW w:w="1419" w:type="dxa"/>
            <w:tcBorders/>
          </w:tcPr>
          <w:p>
            <w:pPr>
              <w:pStyle w:val="Normal"/>
              <w:spacing w:before="120" w:after="200"/>
              <w:ind w:firstLine="340" w:left="0"/>
              <w:jc w:val="left"/>
              <w:rPr>
                <w:bCs/>
                <w:sz w:val="18"/>
                <w:szCs w:val="18"/>
              </w:rPr>
            </w:pPr>
            <w:r>
              <w:rPr>
                <w:rFonts w:cs="Times New Roman"/>
                <w:bCs/>
                <w:kern w:val="0"/>
                <w:sz w:val="18"/>
                <w:szCs w:val="18"/>
                <w:lang w:val="ru-RU" w:bidi="ar-SA"/>
              </w:rPr>
              <w:t>27109,98</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2647850,44</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68623,19</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5980,58</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2147,05</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Стоимость натурального топлива</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52165,74</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17493,21</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1546262,76</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29999,96</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3214,52</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874,86</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Энергия, в т.ч.</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6672,54</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2438,17</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296691,98</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5956,58</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затраты на покупную электрическую энергию</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6672,54</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292288,05</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5956,58</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547,81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312,92</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Затраты на оплату труда</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11503,46</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1504,27</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396171,27</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18312,6</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873,02</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114,36</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Отчисления на социальные нужды</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3922,68</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454,29</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119643,72</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5530,4</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267,14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34,54</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Холодная вода</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1400,01</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382,58</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49015,66</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937,32</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68,69</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18,22</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Водоотведение</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118,64</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199" w:left="0"/>
              <w:rPr>
                <w:bCs/>
                <w:sz w:val="18"/>
                <w:szCs w:val="18"/>
              </w:rPr>
            </w:pPr>
            <w:r>
              <w:rPr>
                <w:rFonts w:cs="Times New Roman"/>
                <w:bCs/>
                <w:kern w:val="0"/>
                <w:sz w:val="18"/>
                <w:szCs w:val="18"/>
                <w:lang w:val="ru-RU" w:bidi="ar-SA"/>
              </w:rPr>
              <w:t>8449,18</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161,57</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14,21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приобретение материалов и сырья</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1115,71</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2566,14</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48291,42</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218,09</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0</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100,19</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hanging="1023" w:left="1080"/>
              <w:rPr>
                <w:bCs/>
                <w:sz w:val="18"/>
                <w:szCs w:val="18"/>
              </w:rPr>
            </w:pPr>
            <w:r>
              <w:rPr>
                <w:rFonts w:cs="Times New Roman"/>
                <w:bCs/>
                <w:kern w:val="0"/>
                <w:sz w:val="18"/>
                <w:szCs w:val="18"/>
                <w:lang w:val="ru-RU" w:bidi="ar-SA"/>
              </w:rPr>
              <w:t>831,82</w:t>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оплату работ и услуг производственного характера, выплняемых по договорам со сторонними организациями</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hanging="1023" w:left="1080"/>
              <w:rPr>
                <w:bCs/>
                <w:sz w:val="18"/>
                <w:szCs w:val="18"/>
              </w:rPr>
            </w:pPr>
            <w:r>
              <w:rPr>
                <w:rFonts w:cs="Times New Roman"/>
                <w:bCs/>
                <w:kern w:val="0"/>
                <w:sz w:val="18"/>
                <w:szCs w:val="18"/>
                <w:lang w:val="ru-RU" w:bidi="ar-SA"/>
              </w:rPr>
              <w:t>22183,39</w:t>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2607,82</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39,01</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14132,91</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130,26</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273,5</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82,47</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служебные командировки</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hanging="1023" w:left="1080"/>
              <w:rPr>
                <w:bCs/>
                <w:sz w:val="18"/>
                <w:szCs w:val="18"/>
              </w:rPr>
            </w:pPr>
            <w:r>
              <w:rPr>
                <w:rFonts w:cs="Times New Roman"/>
                <w:bCs/>
                <w:kern w:val="0"/>
                <w:sz w:val="18"/>
                <w:szCs w:val="18"/>
                <w:lang w:val="ru-RU" w:bidi="ar-SA"/>
              </w:rPr>
              <w:t>14,86</w:t>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обучение персонала</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hanging="1023" w:left="1080"/>
              <w:rPr>
                <w:bCs/>
                <w:sz w:val="18"/>
                <w:szCs w:val="18"/>
              </w:rPr>
            </w:pPr>
            <w:r>
              <w:rPr>
                <w:rFonts w:cs="Times New Roman"/>
                <w:bCs/>
                <w:kern w:val="0"/>
                <w:sz w:val="18"/>
                <w:szCs w:val="18"/>
                <w:lang w:val="ru-RU" w:bidi="ar-SA"/>
              </w:rPr>
              <w:t>920,49</w:t>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shd w:color="auto" w:fill="auto" w:val="clear"/>
          </w:tcPr>
          <w:p>
            <w:pPr>
              <w:pStyle w:val="Normal"/>
              <w:spacing w:before="120" w:after="200"/>
              <w:ind w:firstLine="567" w:left="0"/>
              <w:jc w:val="left"/>
              <w:rPr>
                <w:bCs/>
                <w:sz w:val="18"/>
                <w:szCs w:val="18"/>
              </w:rPr>
            </w:pPr>
            <w:r>
              <w:rPr>
                <w:rFonts w:cs="Times New Roman"/>
                <w:bCs/>
                <w:kern w:val="0"/>
                <w:sz w:val="18"/>
                <w:szCs w:val="18"/>
                <w:lang w:val="ru-RU" w:bidi="ar-SA"/>
              </w:rPr>
              <w:t>Арендная плата</w:t>
            </w:r>
          </w:p>
        </w:tc>
        <w:tc>
          <w:tcPr>
            <w:tcW w:w="1559" w:type="dxa"/>
            <w:tcBorders/>
            <w:shd w:color="auto" w:fill="auto" w:val="clear"/>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shd w:color="auto" w:fill="auto" w:val="clear"/>
          </w:tcPr>
          <w:p>
            <w:pPr>
              <w:pStyle w:val="Normal"/>
              <w:spacing w:before="120" w:after="200"/>
              <w:ind w:firstLine="567" w:left="0"/>
              <w:rPr>
                <w:bCs/>
                <w:sz w:val="18"/>
                <w:szCs w:val="18"/>
              </w:rPr>
            </w:pPr>
            <w:r>
              <w:rPr>
                <w:rFonts w:cs="Times New Roman"/>
                <w:bCs/>
                <w:kern w:val="0"/>
                <w:sz w:val="18"/>
                <w:szCs w:val="18"/>
                <w:lang w:val="ru-RU" w:bidi="ar-SA"/>
              </w:rPr>
              <w:t>33,3</w:t>
            </w:r>
          </w:p>
        </w:tc>
        <w:tc>
          <w:tcPr>
            <w:tcW w:w="1700" w:type="dxa"/>
            <w:tcBorders/>
            <w:shd w:color="auto" w:fill="auto" w:val="clear"/>
          </w:tcPr>
          <w:p>
            <w:pPr>
              <w:pStyle w:val="Normal"/>
              <w:spacing w:before="120" w:after="200"/>
              <w:ind w:firstLine="57" w:left="0"/>
              <w:rPr>
                <w:bCs/>
                <w:sz w:val="18"/>
                <w:szCs w:val="18"/>
              </w:rPr>
            </w:pPr>
            <w:r>
              <w:rPr>
                <w:rFonts w:cs="Times New Roman"/>
                <w:bCs/>
                <w:kern w:val="0"/>
                <w:sz w:val="18"/>
                <w:szCs w:val="18"/>
                <w:lang w:val="ru-RU" w:bidi="ar-SA"/>
              </w:rPr>
              <w:t>1738,99</w:t>
            </w:r>
          </w:p>
        </w:tc>
        <w:tc>
          <w:tcPr>
            <w:tcW w:w="1560" w:type="dxa"/>
            <w:tcBorders/>
            <w:shd w:color="auto" w:fill="auto" w:val="clear"/>
          </w:tcPr>
          <w:p>
            <w:pPr>
              <w:pStyle w:val="Normal"/>
              <w:spacing w:before="120" w:after="200"/>
              <w:ind w:firstLine="567" w:left="0"/>
              <w:rPr>
                <w:bCs/>
                <w:sz w:val="18"/>
                <w:szCs w:val="18"/>
              </w:rPr>
            </w:pPr>
            <w:r>
              <w:rPr>
                <w:rFonts w:cs="Times New Roman"/>
                <w:bCs/>
                <w:kern w:val="0"/>
                <w:sz w:val="18"/>
                <w:szCs w:val="18"/>
                <w:lang w:val="ru-RU" w:bidi="ar-SA"/>
              </w:rPr>
              <w:t>30,46</w:t>
            </w:r>
          </w:p>
        </w:tc>
        <w:tc>
          <w:tcPr>
            <w:tcW w:w="1275" w:type="dxa"/>
            <w:tcBorders/>
            <w:shd w:color="auto" w:fill="auto" w:val="clear"/>
          </w:tcPr>
          <w:p>
            <w:pPr>
              <w:pStyle w:val="Normal"/>
              <w:spacing w:before="120" w:after="200"/>
              <w:ind w:firstLine="567" w:left="0"/>
              <w:rPr>
                <w:bCs/>
                <w:sz w:val="18"/>
                <w:szCs w:val="18"/>
              </w:rPr>
            </w:pPr>
            <w:r>
              <w:rPr>
                <w:rFonts w:cs="Times New Roman"/>
                <w:bCs/>
                <w:kern w:val="0"/>
                <w:sz w:val="18"/>
                <w:szCs w:val="18"/>
                <w:lang w:val="ru-RU" w:bidi="ar-SA"/>
              </w:rPr>
            </w:r>
          </w:p>
        </w:tc>
        <w:tc>
          <w:tcPr>
            <w:tcW w:w="1559" w:type="dxa"/>
            <w:tcBorders/>
            <w:shd w:color="auto" w:fill="auto" w:val="clear"/>
          </w:tcPr>
          <w:p>
            <w:pPr>
              <w:pStyle w:val="Normal"/>
              <w:spacing w:before="120" w:after="200"/>
              <w:ind w:firstLine="567" w:left="0"/>
              <w:rPr>
                <w:bCs/>
                <w:sz w:val="18"/>
                <w:szCs w:val="18"/>
              </w:rPr>
            </w:pPr>
            <w:r>
              <w:rPr>
                <w:rFonts w:cs="Times New Roman"/>
                <w:bCs/>
                <w:kern w:val="0"/>
                <w:sz w:val="18"/>
                <w:szCs w:val="18"/>
                <w:lang w:val="ru-RU" w:bidi="ar-SA"/>
              </w:rPr>
              <w:t>588</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Прочие операционные расходы</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11,33</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364,45</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2199,01</w:t>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13328,96</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2393,09</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10,5</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21,5</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Амортизация Оси нематериальных активов</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204,02</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57" w:left="0"/>
              <w:rPr>
                <w:bCs/>
                <w:sz w:val="18"/>
                <w:szCs w:val="18"/>
              </w:rPr>
            </w:pPr>
            <w:r>
              <w:rPr>
                <w:rFonts w:cs="Times New Roman"/>
                <w:bCs/>
                <w:kern w:val="0"/>
                <w:sz w:val="18"/>
                <w:szCs w:val="18"/>
                <w:lang w:val="ru-RU" w:bidi="ar-SA"/>
              </w:rPr>
              <w:t>130173,01</w:t>
            </w:r>
          </w:p>
        </w:tc>
        <w:tc>
          <w:tcPr>
            <w:tcW w:w="1560" w:type="dxa"/>
            <w:tcBorders/>
          </w:tcPr>
          <w:p>
            <w:pPr>
              <w:pStyle w:val="Normal"/>
              <w:spacing w:before="120" w:after="200"/>
              <w:ind w:firstLine="175" w:left="0"/>
              <w:rPr>
                <w:bCs/>
                <w:sz w:val="18"/>
                <w:szCs w:val="18"/>
              </w:rPr>
            </w:pPr>
            <w:r>
              <w:rPr>
                <w:rFonts w:cs="Times New Roman"/>
                <w:bCs/>
                <w:kern w:val="0"/>
                <w:sz w:val="18"/>
                <w:szCs w:val="18"/>
                <w:lang w:val="ru-RU" w:bidi="ar-SA"/>
              </w:rPr>
              <w:t>4952,86</w:t>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270,34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Прочие неподконтрольные расходы</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left="1080"/>
              <w:rPr>
                <w:bCs/>
                <w:sz w:val="18"/>
                <w:szCs w:val="18"/>
              </w:rPr>
            </w:pPr>
            <w:r>
              <w:rPr>
                <w:rFonts w:cs="Times New Roman"/>
                <w:bCs/>
                <w:kern w:val="0"/>
                <w:sz w:val="18"/>
                <w:szCs w:val="18"/>
                <w:lang w:val="ru-RU" w:bidi="ar-SA"/>
              </w:rPr>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440,85</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Корректировка</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850</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-382,54</w:t>
            </w:r>
          </w:p>
        </w:tc>
        <w:tc>
          <w:tcPr>
            <w:tcW w:w="1700" w:type="dxa"/>
            <w:tcBorders/>
          </w:tcPr>
          <w:p>
            <w:pPr>
              <w:pStyle w:val="Normal"/>
              <w:spacing w:before="120" w:after="200"/>
              <w:ind w:firstLine="567" w:left="0"/>
              <w:rPr>
                <w:bCs/>
                <w:sz w:val="18"/>
                <w:szCs w:val="18"/>
              </w:rPr>
            </w:pPr>
            <w:r>
              <w:rPr>
                <w:rFonts w:cs="Times New Roman"/>
                <w:bCs/>
                <w:kern w:val="0"/>
                <w:sz w:val="18"/>
                <w:szCs w:val="18"/>
                <w:lang w:val="ru-RU" w:bidi="ar-SA"/>
              </w:rPr>
              <w:t>30050</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Прибыль</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402,95</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-16,56</w:t>
            </w:r>
          </w:p>
        </w:tc>
        <w:tc>
          <w:tcPr>
            <w:tcW w:w="1700" w:type="dxa"/>
            <w:tcBorders/>
          </w:tcPr>
          <w:p>
            <w:pPr>
              <w:pStyle w:val="Normal"/>
              <w:spacing w:before="120" w:after="200"/>
              <w:ind w:firstLine="199" w:left="0"/>
              <w:rPr>
                <w:bCs/>
                <w:sz w:val="18"/>
                <w:szCs w:val="18"/>
              </w:rPr>
            </w:pPr>
            <w:r>
              <w:rPr>
                <w:rFonts w:cs="Times New Roman"/>
                <w:bCs/>
                <w:kern w:val="0"/>
                <w:sz w:val="18"/>
                <w:szCs w:val="18"/>
                <w:lang w:val="ru-RU" w:bidi="ar-SA"/>
              </w:rPr>
              <w:t>104592,84</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198,71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41,32</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Нормативная прибыль</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402,95</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t>-16,56</w:t>
            </w:r>
          </w:p>
        </w:tc>
        <w:tc>
          <w:tcPr>
            <w:tcW w:w="1700" w:type="dxa"/>
            <w:tcBorders/>
          </w:tcPr>
          <w:p>
            <w:pPr>
              <w:pStyle w:val="Normal"/>
              <w:spacing w:before="120" w:after="200"/>
              <w:ind w:firstLine="199" w:left="0"/>
              <w:rPr>
                <w:bCs/>
                <w:sz w:val="18"/>
                <w:szCs w:val="18"/>
              </w:rPr>
            </w:pPr>
            <w:r>
              <w:rPr>
                <w:rFonts w:cs="Times New Roman"/>
                <w:bCs/>
                <w:kern w:val="0"/>
                <w:sz w:val="18"/>
                <w:szCs w:val="18"/>
                <w:lang w:val="ru-RU" w:bidi="ar-SA"/>
              </w:rPr>
              <w:t>104592,84</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60,41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41,32</w:t>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Расчетная предпринимательская прибыль</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0</w:t>
            </w:r>
          </w:p>
        </w:tc>
        <w:tc>
          <w:tcPr>
            <w:tcW w:w="141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70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hanging="0" w:left="57"/>
              <w:jc w:val="center"/>
              <w:rPr>
                <w:bCs/>
                <w:sz w:val="18"/>
                <w:szCs w:val="18"/>
              </w:rPr>
            </w:pPr>
            <w:r>
              <w:rPr>
                <w:rFonts w:cs="Times New Roman"/>
                <w:bCs/>
                <w:kern w:val="0"/>
                <w:sz w:val="18"/>
                <w:szCs w:val="18"/>
                <w:lang w:val="ru-RU" w:bidi="ar-SA"/>
              </w:rPr>
              <w:t>138,3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rHeight w:val="57" w:hRule="atLeast"/>
        </w:trPr>
        <w:tc>
          <w:tcPr>
            <w:tcW w:w="5353" w:type="dxa"/>
            <w:tcBorders/>
          </w:tcPr>
          <w:p>
            <w:pPr>
              <w:pStyle w:val="Normal"/>
              <w:spacing w:before="120" w:after="200"/>
              <w:ind w:hanging="0" w:left="175"/>
              <w:jc w:val="left"/>
              <w:rPr>
                <w:bCs/>
                <w:sz w:val="18"/>
                <w:szCs w:val="18"/>
              </w:rPr>
            </w:pPr>
            <w:r>
              <w:rPr>
                <w:rFonts w:cs="Times New Roman"/>
                <w:bCs/>
                <w:kern w:val="0"/>
                <w:sz w:val="18"/>
                <w:szCs w:val="18"/>
                <w:lang w:val="ru-RU" w:bidi="ar-SA"/>
              </w:rPr>
              <w:t>Сумма снижения</w:t>
            </w:r>
          </w:p>
        </w:tc>
        <w:tc>
          <w:tcPr>
            <w:tcW w:w="1559" w:type="dxa"/>
            <w:tcBorders/>
          </w:tcPr>
          <w:p>
            <w:pPr>
              <w:pStyle w:val="Normal"/>
              <w:spacing w:before="120" w:after="200"/>
              <w:ind w:hanging="0" w:left="188"/>
              <w:jc w:val="center"/>
              <w:rPr>
                <w:bCs/>
                <w:sz w:val="18"/>
                <w:szCs w:val="18"/>
              </w:rPr>
            </w:pPr>
            <w:r>
              <w:rPr>
                <w:rFonts w:cs="Times New Roman"/>
                <w:bCs/>
                <w:kern w:val="0"/>
                <w:sz w:val="18"/>
                <w:szCs w:val="18"/>
                <w:lang w:val="ru-RU" w:bidi="ar-SA"/>
              </w:rPr>
              <w:t>0</w:t>
            </w:r>
          </w:p>
        </w:tc>
        <w:tc>
          <w:tcPr>
            <w:tcW w:w="1419" w:type="dxa"/>
            <w:tcBorders/>
          </w:tcPr>
          <w:p>
            <w:pPr>
              <w:pStyle w:val="Normal"/>
              <w:spacing w:before="120" w:after="200"/>
              <w:ind w:firstLine="567" w:left="0"/>
              <w:rPr>
                <w:bCs/>
                <w:sz w:val="18"/>
                <w:szCs w:val="18"/>
              </w:rPr>
            </w:pPr>
            <w:r>
              <w:rPr>
                <w:rFonts w:cs="Times New Roman"/>
                <w:bCs/>
                <w:kern w:val="0"/>
                <w:sz w:val="18"/>
                <w:szCs w:val="18"/>
                <w:lang w:val="ru-RU" w:bidi="ar-SA"/>
              </w:rPr>
              <w:t>1576</w:t>
            </w:r>
          </w:p>
        </w:tc>
        <w:tc>
          <w:tcPr>
            <w:tcW w:w="170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27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080"/>
              <w:rPr>
                <w:bCs/>
                <w:sz w:val="18"/>
                <w:szCs w:val="18"/>
              </w:rPr>
            </w:pPr>
            <w:r>
              <w:rPr>
                <w:rFonts w:cs="Times New Roman"/>
                <w:bCs/>
                <w:kern w:val="0"/>
                <w:sz w:val="18"/>
                <w:szCs w:val="18"/>
                <w:lang w:val="ru-RU" w:bidi="ar-SA"/>
              </w:rPr>
            </w:r>
          </w:p>
        </w:tc>
      </w:tr>
    </w:tbl>
    <w:p>
      <w:pPr>
        <w:pStyle w:val="Normal"/>
        <w:rPr/>
      </w:pPr>
      <w:r>
        <w:rPr/>
      </w:r>
    </w:p>
    <w:p>
      <w:pPr>
        <w:pStyle w:val="Normal"/>
        <w:spacing w:before="120" w:after="200"/>
        <w:ind w:hanging="0"/>
        <w:rPr>
          <w:b/>
          <w:bCs/>
          <w:sz w:val="20"/>
          <w:szCs w:val="20"/>
        </w:rPr>
      </w:pPr>
      <w:r>
        <w:rPr>
          <w:b/>
          <w:bCs/>
          <w:sz w:val="20"/>
          <w:szCs w:val="20"/>
        </w:rPr>
        <w:t>Таблица 14.2</w:t>
      </w:r>
      <w:r>
        <w:rPr>
          <w:b/>
          <w:bCs/>
          <w:sz w:val="20"/>
          <w:szCs w:val="20"/>
          <w:lang w:eastAsia="ru-RU"/>
        </w:rPr>
        <w:t xml:space="preserve">  (продолжение) </w:t>
      </w:r>
      <w:r>
        <w:rPr>
          <w:b/>
          <w:bCs/>
          <w:sz w:val="20"/>
          <w:szCs w:val="20"/>
        </w:rPr>
        <w:t xml:space="preserve">– Смета затрат  теплоснабжающих организаций г. Калуги, утверждённых в тарифах на тепловую энергию 2023 года </w:t>
      </w:r>
    </w:p>
    <w:p>
      <w:pPr>
        <w:pStyle w:val="Normal"/>
        <w:rPr/>
      </w:pPr>
      <w:r>
        <w:rPr/>
      </w:r>
    </w:p>
    <w:tbl>
      <w:tblPr>
        <w:tblStyle w:val="aff"/>
        <w:tblW w:w="1442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227"/>
        <w:gridCol w:w="2126"/>
        <w:gridCol w:w="1559"/>
        <w:gridCol w:w="1560"/>
        <w:gridCol w:w="1985"/>
        <w:gridCol w:w="2409"/>
        <w:gridCol w:w="1559"/>
      </w:tblGrid>
      <w:tr>
        <w:trPr>
          <w:tblHeader w:val="true"/>
          <w:trHeight w:val="781" w:hRule="atLeast"/>
        </w:trPr>
        <w:tc>
          <w:tcPr>
            <w:tcW w:w="3227" w:type="dxa"/>
            <w:tcBorders/>
            <w:vAlign w:val="center"/>
          </w:tcPr>
          <w:p>
            <w:pPr>
              <w:pStyle w:val="Normal"/>
              <w:spacing w:before="120" w:after="200"/>
              <w:ind w:hanging="0" w:left="294"/>
              <w:jc w:val="center"/>
              <w:rPr>
                <w:b/>
                <w:bCs/>
                <w:sz w:val="18"/>
                <w:szCs w:val="18"/>
              </w:rPr>
            </w:pPr>
            <w:r>
              <w:rPr>
                <w:rFonts w:cs="Times New Roman"/>
                <w:b/>
                <w:bCs/>
                <w:kern w:val="0"/>
                <w:sz w:val="18"/>
                <w:szCs w:val="18"/>
                <w:lang w:val="ru-RU" w:bidi="ar-SA"/>
              </w:rPr>
              <w:t>Статья расходов</w:t>
            </w:r>
          </w:p>
        </w:tc>
        <w:tc>
          <w:tcPr>
            <w:tcW w:w="2126" w:type="dxa"/>
            <w:tcBorders/>
            <w:vAlign w:val="center"/>
          </w:tcPr>
          <w:p>
            <w:pPr>
              <w:pStyle w:val="Normal"/>
              <w:spacing w:before="120" w:after="200"/>
              <w:ind w:hanging="0" w:left="46"/>
              <w:jc w:val="center"/>
              <w:rPr>
                <w:b/>
                <w:bCs/>
                <w:sz w:val="18"/>
                <w:szCs w:val="18"/>
              </w:rPr>
            </w:pPr>
            <w:r>
              <w:rPr>
                <w:rFonts w:cs="Times New Roman"/>
                <w:b/>
                <w:bCs/>
                <w:kern w:val="0"/>
                <w:sz w:val="18"/>
                <w:szCs w:val="18"/>
                <w:lang w:val="ru-RU" w:bidi="ar-SA"/>
              </w:rPr>
              <w:t>АО «Калужский электромеханический завод»</w:t>
            </w:r>
          </w:p>
        </w:tc>
        <w:tc>
          <w:tcPr>
            <w:tcW w:w="1559" w:type="dxa"/>
            <w:tcBorders/>
            <w:vAlign w:val="center"/>
          </w:tcPr>
          <w:p>
            <w:pPr>
              <w:pStyle w:val="Normal"/>
              <w:spacing w:before="120" w:after="200"/>
              <w:ind w:hanging="0" w:left="0"/>
              <w:jc w:val="center"/>
              <w:rPr>
                <w:b/>
                <w:bCs/>
                <w:sz w:val="18"/>
                <w:szCs w:val="18"/>
              </w:rPr>
            </w:pPr>
            <w:r>
              <w:rPr>
                <w:rFonts w:cs="Times New Roman"/>
                <w:b/>
                <w:bCs/>
                <w:kern w:val="0"/>
                <w:sz w:val="18"/>
                <w:szCs w:val="18"/>
                <w:lang w:val="ru-RU" w:bidi="ar-SA"/>
              </w:rPr>
              <w:t>ООО «Тепло-Сервис»</w:t>
            </w:r>
          </w:p>
        </w:tc>
        <w:tc>
          <w:tcPr>
            <w:tcW w:w="1560" w:type="dxa"/>
            <w:tcBorders/>
            <w:vAlign w:val="center"/>
          </w:tcPr>
          <w:p>
            <w:pPr>
              <w:pStyle w:val="Normal"/>
              <w:spacing w:before="120" w:after="200"/>
              <w:ind w:hanging="0" w:left="0"/>
              <w:jc w:val="center"/>
              <w:rPr>
                <w:b/>
                <w:bCs/>
                <w:sz w:val="18"/>
                <w:szCs w:val="18"/>
              </w:rPr>
            </w:pPr>
            <w:r>
              <w:rPr>
                <w:rFonts w:cs="Times New Roman"/>
                <w:b/>
                <w:bCs/>
                <w:kern w:val="0"/>
                <w:sz w:val="18"/>
                <w:szCs w:val="18"/>
                <w:lang w:val="ru-RU" w:bidi="ar-SA"/>
              </w:rPr>
              <w:t>АО «КВАДРА»</w:t>
            </w:r>
          </w:p>
        </w:tc>
        <w:tc>
          <w:tcPr>
            <w:tcW w:w="1985" w:type="dxa"/>
            <w:tcBorders/>
            <w:vAlign w:val="center"/>
          </w:tcPr>
          <w:p>
            <w:pPr>
              <w:pStyle w:val="Normal"/>
              <w:spacing w:before="120" w:after="200"/>
              <w:ind w:firstLine="317" w:left="0"/>
              <w:jc w:val="center"/>
              <w:rPr>
                <w:b/>
                <w:bCs/>
                <w:sz w:val="18"/>
                <w:szCs w:val="18"/>
              </w:rPr>
            </w:pPr>
            <w:r>
              <w:rPr>
                <w:rFonts w:cs="Times New Roman"/>
                <w:b/>
                <w:bCs/>
                <w:kern w:val="0"/>
                <w:sz w:val="18"/>
                <w:szCs w:val="18"/>
                <w:lang w:val="ru-RU" w:bidi="ar-SA"/>
              </w:rPr>
              <w:t>ПАО «Калужский турбинный   завод»</w:t>
            </w:r>
          </w:p>
        </w:tc>
        <w:tc>
          <w:tcPr>
            <w:tcW w:w="2409" w:type="dxa"/>
            <w:tcBorders/>
            <w:vAlign w:val="center"/>
          </w:tcPr>
          <w:p>
            <w:pPr>
              <w:pStyle w:val="Normal"/>
              <w:spacing w:before="120" w:after="200"/>
              <w:ind w:hanging="0" w:left="57"/>
              <w:jc w:val="center"/>
              <w:rPr>
                <w:b/>
                <w:bCs/>
                <w:sz w:val="18"/>
                <w:szCs w:val="18"/>
              </w:rPr>
            </w:pPr>
            <w:r>
              <w:rPr>
                <w:rFonts w:cs="Times New Roman"/>
                <w:b/>
                <w:bCs/>
                <w:kern w:val="0"/>
                <w:sz w:val="18"/>
                <w:szCs w:val="18"/>
                <w:lang w:val="ru-RU" w:bidi="ar-SA"/>
              </w:rPr>
              <w:t>АО «НПП Калужский приборостроительный завод «Тайфун»</w:t>
            </w:r>
          </w:p>
        </w:tc>
        <w:tc>
          <w:tcPr>
            <w:tcW w:w="1559" w:type="dxa"/>
            <w:tcBorders/>
            <w:vAlign w:val="center"/>
          </w:tcPr>
          <w:p>
            <w:pPr>
              <w:pStyle w:val="Normal"/>
              <w:spacing w:before="120" w:after="200"/>
              <w:ind w:hanging="0" w:left="198"/>
              <w:jc w:val="center"/>
              <w:rPr>
                <w:b/>
                <w:bCs/>
                <w:sz w:val="18"/>
                <w:szCs w:val="18"/>
              </w:rPr>
            </w:pPr>
            <w:r>
              <w:rPr>
                <w:rFonts w:cs="Times New Roman"/>
                <w:b/>
                <w:bCs/>
                <w:kern w:val="0"/>
                <w:sz w:val="18"/>
                <w:szCs w:val="18"/>
                <w:lang w:val="ru-RU" w:bidi="ar-SA"/>
              </w:rPr>
              <w:t>ООО «Постак»</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НВВ</w:t>
            </w:r>
          </w:p>
        </w:tc>
        <w:tc>
          <w:tcPr>
            <w:tcW w:w="2126" w:type="dxa"/>
            <w:tcBorders/>
          </w:tcPr>
          <w:p>
            <w:pPr>
              <w:pStyle w:val="Normal"/>
              <w:spacing w:before="120" w:after="200"/>
              <w:ind w:hanging="0" w:left="188" w:right="176"/>
              <w:jc w:val="center"/>
              <w:rPr>
                <w:bCs/>
                <w:sz w:val="18"/>
                <w:szCs w:val="18"/>
              </w:rPr>
            </w:pPr>
            <w:r>
              <w:rPr>
                <w:rFonts w:cs="Times New Roman"/>
                <w:bCs/>
                <w:kern w:val="0"/>
                <w:sz w:val="18"/>
                <w:szCs w:val="18"/>
                <w:lang w:val="ru-RU" w:bidi="ar-SA"/>
              </w:rPr>
              <w:t>177891,75</w:t>
            </w:r>
          </w:p>
        </w:tc>
        <w:tc>
          <w:tcPr>
            <w:tcW w:w="1559" w:type="dxa"/>
            <w:tcBorders/>
          </w:tcPr>
          <w:p>
            <w:pPr>
              <w:pStyle w:val="Normal"/>
              <w:spacing w:before="120" w:after="200"/>
              <w:ind w:hanging="0" w:left="34"/>
              <w:jc w:val="center"/>
              <w:rPr>
                <w:bCs/>
                <w:sz w:val="18"/>
                <w:szCs w:val="18"/>
              </w:rPr>
            </w:pPr>
            <w:r>
              <w:rPr>
                <w:rFonts w:cs="Times New Roman"/>
                <w:bCs/>
                <w:kern w:val="0"/>
                <w:sz w:val="18"/>
                <w:szCs w:val="18"/>
                <w:lang w:val="ru-RU" w:bidi="ar-SA"/>
              </w:rPr>
              <w:t>42244,01</w:t>
            </w:r>
          </w:p>
        </w:tc>
        <w:tc>
          <w:tcPr>
            <w:tcW w:w="1560" w:type="dxa"/>
            <w:tcBorders/>
            <w:vAlign w:val="center"/>
          </w:tcPr>
          <w:p>
            <w:pPr>
              <w:pStyle w:val="Normal"/>
              <w:spacing w:before="120" w:after="200"/>
              <w:ind w:firstLine="199" w:left="0"/>
              <w:rPr>
                <w:bCs/>
                <w:sz w:val="18"/>
                <w:szCs w:val="18"/>
              </w:rPr>
            </w:pPr>
            <w:r>
              <w:rPr>
                <w:rFonts w:cs="Times New Roman"/>
                <w:bCs/>
                <w:kern w:val="0"/>
                <w:sz w:val="18"/>
                <w:szCs w:val="18"/>
                <w:lang w:val="ru-RU" w:bidi="ar-SA"/>
              </w:rPr>
              <w:t>98573,07</w:t>
            </w:r>
          </w:p>
        </w:tc>
        <w:tc>
          <w:tcPr>
            <w:tcW w:w="1985" w:type="dxa"/>
            <w:tcBorders/>
          </w:tcPr>
          <w:p>
            <w:pPr>
              <w:pStyle w:val="Normal"/>
              <w:spacing w:before="120" w:after="200"/>
              <w:ind w:firstLine="34" w:left="0"/>
              <w:rPr>
                <w:bCs/>
                <w:sz w:val="18"/>
                <w:szCs w:val="18"/>
              </w:rPr>
            </w:pPr>
            <w:r>
              <w:rPr>
                <w:rFonts w:cs="Times New Roman"/>
                <w:bCs/>
                <w:kern w:val="0"/>
                <w:sz w:val="18"/>
                <w:szCs w:val="18"/>
                <w:lang w:val="ru-RU" w:bidi="ar-SA"/>
              </w:rPr>
              <w:t>338754,87</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178520,13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5121,46</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Налог на прибыль</w:t>
            </w:r>
          </w:p>
        </w:tc>
        <w:tc>
          <w:tcPr>
            <w:tcW w:w="2126"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34"/>
              <w:jc w:val="center"/>
              <w:rPr>
                <w:bCs/>
                <w:sz w:val="18"/>
                <w:szCs w:val="18"/>
              </w:rPr>
            </w:pPr>
            <w:r>
              <w:rPr>
                <w:rFonts w:cs="Times New Roman"/>
                <w:bCs/>
                <w:kern w:val="0"/>
                <w:sz w:val="18"/>
                <w:szCs w:val="18"/>
                <w:lang w:val="ru-RU" w:bidi="ar-SA"/>
              </w:rPr>
            </w:r>
          </w:p>
        </w:tc>
        <w:tc>
          <w:tcPr>
            <w:tcW w:w="1560" w:type="dxa"/>
            <w:tcBorders/>
            <w:vAlign w:val="center"/>
          </w:tcPr>
          <w:p>
            <w:pPr>
              <w:pStyle w:val="Normal"/>
              <w:spacing w:before="120" w:after="200"/>
              <w:ind w:firstLine="567" w:left="0"/>
              <w:rPr>
                <w:bCs/>
                <w:sz w:val="18"/>
                <w:szCs w:val="18"/>
              </w:rPr>
            </w:pPr>
            <w:r>
              <w:rPr>
                <w:rFonts w:cs="Times New Roman"/>
                <w:bCs/>
                <w:kern w:val="0"/>
                <w:sz w:val="18"/>
                <w:szCs w:val="18"/>
                <w:lang w:val="ru-RU" w:bidi="ar-SA"/>
              </w:rPr>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Итого расходов</w:t>
            </w:r>
          </w:p>
        </w:tc>
        <w:tc>
          <w:tcPr>
            <w:tcW w:w="2126" w:type="dxa"/>
            <w:tcBorders/>
          </w:tcPr>
          <w:p>
            <w:pPr>
              <w:pStyle w:val="Normal"/>
              <w:spacing w:before="120" w:after="200"/>
              <w:ind w:hanging="0" w:left="188"/>
              <w:jc w:val="center"/>
              <w:rPr>
                <w:bCs/>
                <w:sz w:val="18"/>
                <w:szCs w:val="18"/>
              </w:rPr>
            </w:pPr>
            <w:r>
              <w:rPr>
                <w:rFonts w:cs="Times New Roman"/>
                <w:bCs/>
                <w:kern w:val="0"/>
                <w:sz w:val="18"/>
                <w:szCs w:val="18"/>
                <w:lang w:val="ru-RU" w:bidi="ar-SA"/>
              </w:rPr>
              <w:t>177891,75</w:t>
            </w:r>
          </w:p>
        </w:tc>
        <w:tc>
          <w:tcPr>
            <w:tcW w:w="1559" w:type="dxa"/>
            <w:tcBorders/>
          </w:tcPr>
          <w:p>
            <w:pPr>
              <w:pStyle w:val="Normal"/>
              <w:spacing w:before="120" w:after="200"/>
              <w:ind w:hanging="0" w:left="34"/>
              <w:jc w:val="center"/>
              <w:rPr>
                <w:bCs/>
                <w:sz w:val="18"/>
                <w:szCs w:val="18"/>
              </w:rPr>
            </w:pPr>
            <w:r>
              <w:rPr>
                <w:rFonts w:cs="Times New Roman"/>
                <w:bCs/>
                <w:kern w:val="0"/>
                <w:sz w:val="18"/>
                <w:szCs w:val="18"/>
                <w:lang w:val="ru-RU" w:bidi="ar-SA"/>
              </w:rPr>
              <w:t>42416,08</w:t>
            </w:r>
          </w:p>
        </w:tc>
        <w:tc>
          <w:tcPr>
            <w:tcW w:w="1560" w:type="dxa"/>
            <w:tcBorders/>
          </w:tcPr>
          <w:p>
            <w:pPr>
              <w:pStyle w:val="Normal"/>
              <w:spacing w:before="120" w:after="200"/>
              <w:ind w:firstLine="199" w:left="57"/>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97110,83</w:t>
            </w:r>
          </w:p>
        </w:tc>
        <w:tc>
          <w:tcPr>
            <w:tcW w:w="1985" w:type="dxa"/>
            <w:tcBorders/>
          </w:tcPr>
          <w:p>
            <w:pPr>
              <w:pStyle w:val="Normal"/>
              <w:spacing w:before="120" w:after="200"/>
              <w:ind w:firstLine="34" w:left="0"/>
              <w:rPr>
                <w:bCs/>
                <w:sz w:val="18"/>
                <w:szCs w:val="18"/>
              </w:rPr>
            </w:pPr>
            <w:r>
              <w:rPr>
                <w:rFonts w:cs="Times New Roman"/>
                <w:bCs/>
                <w:kern w:val="0"/>
                <w:sz w:val="18"/>
                <w:szCs w:val="18"/>
                <w:lang w:val="ru-RU" w:bidi="ar-SA"/>
              </w:rPr>
              <w:t>336177,58</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171378,38</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5001,10</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Налог по упращенной системе налогообложения</w:t>
            </w:r>
          </w:p>
        </w:tc>
        <w:tc>
          <w:tcPr>
            <w:tcW w:w="2126"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34"/>
              <w:jc w:val="center"/>
              <w:rPr>
                <w:bCs/>
                <w:sz w:val="18"/>
                <w:szCs w:val="18"/>
              </w:rPr>
            </w:pPr>
            <w:r>
              <w:rPr>
                <w:rFonts w:cs="Times New Roman"/>
                <w:bCs/>
                <w:kern w:val="0"/>
                <w:sz w:val="18"/>
                <w:szCs w:val="18"/>
                <w:lang w:val="ru-RU" w:bidi="ar-SA"/>
              </w:rPr>
              <w:t>432,44</w:t>
            </w:r>
          </w:p>
        </w:tc>
        <w:tc>
          <w:tcPr>
            <w:tcW w:w="1560" w:type="dxa"/>
            <w:tcBorders/>
          </w:tcPr>
          <w:p>
            <w:pPr>
              <w:pStyle w:val="Normal"/>
              <w:spacing w:before="120" w:after="200"/>
              <w:ind w:firstLine="199" w:left="57"/>
              <w:rPr>
                <w:bCs/>
                <w:sz w:val="18"/>
                <w:szCs w:val="18"/>
              </w:rPr>
            </w:pPr>
            <w:r>
              <w:rPr>
                <w:rFonts w:cs="Times New Roman"/>
                <w:bCs/>
                <w:kern w:val="0"/>
                <w:sz w:val="18"/>
                <w:szCs w:val="18"/>
                <w:lang w:val="ru-RU" w:bidi="ar-SA"/>
              </w:rPr>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Итого расходов  (без налога на прибыль)</w:t>
            </w:r>
          </w:p>
        </w:tc>
        <w:tc>
          <w:tcPr>
            <w:tcW w:w="2126" w:type="dxa"/>
            <w:tcBorders/>
          </w:tcPr>
          <w:p>
            <w:pPr>
              <w:pStyle w:val="Normal"/>
              <w:spacing w:before="120" w:after="200"/>
              <w:ind w:hanging="0" w:left="188"/>
              <w:jc w:val="center"/>
              <w:rPr>
                <w:bCs/>
                <w:sz w:val="18"/>
                <w:szCs w:val="18"/>
              </w:rPr>
            </w:pPr>
            <w:r>
              <w:rPr>
                <w:rFonts w:cs="Times New Roman"/>
                <w:bCs/>
                <w:kern w:val="0"/>
                <w:sz w:val="18"/>
                <w:szCs w:val="18"/>
                <w:lang w:val="ru-RU" w:bidi="ar-SA"/>
              </w:rPr>
              <w:t>177891,75</w:t>
            </w:r>
          </w:p>
        </w:tc>
        <w:tc>
          <w:tcPr>
            <w:tcW w:w="1559" w:type="dxa"/>
            <w:tcBorders/>
          </w:tcPr>
          <w:p>
            <w:pPr>
              <w:pStyle w:val="Normal"/>
              <w:spacing w:before="120" w:after="200"/>
              <w:ind w:firstLine="198" w:left="0"/>
              <w:rPr>
                <w:bCs/>
                <w:sz w:val="18"/>
                <w:szCs w:val="18"/>
              </w:rPr>
            </w:pPr>
            <w:r>
              <w:rPr>
                <w:rFonts w:cs="Times New Roman"/>
                <w:bCs/>
                <w:kern w:val="0"/>
                <w:sz w:val="18"/>
                <w:szCs w:val="18"/>
                <w:lang w:val="ru-RU" w:bidi="ar-SA"/>
              </w:rPr>
              <w:t>41983,64</w:t>
            </w:r>
          </w:p>
        </w:tc>
        <w:tc>
          <w:tcPr>
            <w:tcW w:w="1560" w:type="dxa"/>
            <w:tcBorders/>
          </w:tcPr>
          <w:p>
            <w:pPr>
              <w:pStyle w:val="Normal"/>
              <w:spacing w:before="120" w:after="200"/>
              <w:ind w:firstLine="57" w:left="0"/>
              <w:rPr>
                <w:bCs/>
                <w:sz w:val="18"/>
                <w:szCs w:val="18"/>
              </w:rPr>
            </w:pPr>
            <w:r>
              <w:rPr>
                <w:rFonts w:cs="Times New Roman"/>
                <w:bCs/>
                <w:kern w:val="0"/>
                <w:sz w:val="18"/>
                <w:szCs w:val="18"/>
                <w:lang w:val="ru-RU" w:bidi="ar-SA"/>
              </w:rPr>
              <w:t>97110,83</w:t>
            </w:r>
          </w:p>
        </w:tc>
        <w:tc>
          <w:tcPr>
            <w:tcW w:w="1985" w:type="dxa"/>
            <w:tcBorders/>
          </w:tcPr>
          <w:p>
            <w:pPr>
              <w:pStyle w:val="Normal"/>
              <w:spacing w:before="120" w:after="200"/>
              <w:ind w:firstLine="175" w:left="0"/>
              <w:rPr>
                <w:bCs/>
                <w:sz w:val="18"/>
                <w:szCs w:val="18"/>
              </w:rPr>
            </w:pPr>
            <w:r>
              <w:rPr>
                <w:rFonts w:cs="Times New Roman"/>
                <w:bCs/>
                <w:kern w:val="0"/>
                <w:sz w:val="18"/>
                <w:szCs w:val="18"/>
                <w:lang w:val="ru-RU" w:bidi="ar-SA"/>
              </w:rPr>
              <w:t>336177,58</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171378,38</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5001,10</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Стоимость натурального топлива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114908,71</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25601,04</w:t>
            </w:r>
          </w:p>
        </w:tc>
        <w:tc>
          <w:tcPr>
            <w:tcW w:w="1560" w:type="dxa"/>
            <w:tcBorders/>
          </w:tcPr>
          <w:p>
            <w:pPr>
              <w:pStyle w:val="Normal"/>
              <w:spacing w:before="120" w:after="200"/>
              <w:ind w:firstLine="57" w:left="0"/>
              <w:rPr>
                <w:bCs/>
                <w:sz w:val="18"/>
                <w:szCs w:val="18"/>
              </w:rPr>
            </w:pPr>
            <w:r>
              <w:rPr>
                <w:rFonts w:cs="Times New Roman"/>
                <w:bCs/>
                <w:kern w:val="0"/>
                <w:sz w:val="18"/>
                <w:szCs w:val="18"/>
                <w:lang w:val="ru-RU" w:bidi="ar-SA"/>
              </w:rPr>
              <w:t>56907,89</w:t>
            </w:r>
          </w:p>
        </w:tc>
        <w:tc>
          <w:tcPr>
            <w:tcW w:w="1985" w:type="dxa"/>
            <w:tcBorders/>
          </w:tcPr>
          <w:p>
            <w:pPr>
              <w:pStyle w:val="Normal"/>
              <w:spacing w:before="120" w:after="200"/>
              <w:ind w:firstLine="175" w:left="0"/>
              <w:rPr>
                <w:bCs/>
                <w:sz w:val="18"/>
                <w:szCs w:val="18"/>
              </w:rPr>
            </w:pPr>
            <w:r>
              <w:rPr>
                <w:rFonts w:cs="Times New Roman"/>
                <w:bCs/>
                <w:kern w:val="0"/>
                <w:sz w:val="18"/>
                <w:szCs w:val="18"/>
                <w:lang w:val="ru-RU" w:bidi="ar-SA"/>
              </w:rPr>
              <w:t>229870,08</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101934,44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2593,89</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Энергия, в т.ч.</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16745,62</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5113,14</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8344,01</w:t>
            </w:r>
          </w:p>
        </w:tc>
        <w:tc>
          <w:tcPr>
            <w:tcW w:w="1985" w:type="dxa"/>
            <w:tcBorders/>
          </w:tcPr>
          <w:p>
            <w:pPr>
              <w:pStyle w:val="Normal"/>
              <w:spacing w:before="120" w:after="200"/>
              <w:ind w:firstLine="175" w:left="0"/>
              <w:rPr>
                <w:bCs/>
                <w:sz w:val="18"/>
                <w:szCs w:val="18"/>
              </w:rPr>
            </w:pPr>
            <w:r>
              <w:rPr>
                <w:rFonts w:cs="Times New Roman"/>
                <w:bCs/>
                <w:kern w:val="0"/>
                <w:sz w:val="18"/>
                <w:szCs w:val="18"/>
                <w:lang w:val="ru-RU" w:bidi="ar-SA"/>
              </w:rPr>
              <w:t>56966,33</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16083,3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255,35</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затраты на покупную электрическую энергию</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16745,62</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5113,14</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3009,27</w:t>
            </w:r>
          </w:p>
        </w:tc>
        <w:tc>
          <w:tcPr>
            <w:tcW w:w="1985" w:type="dxa"/>
            <w:tcBorders/>
          </w:tcPr>
          <w:p>
            <w:pPr>
              <w:pStyle w:val="Normal"/>
              <w:spacing w:before="120" w:after="200"/>
              <w:ind w:firstLine="175" w:left="0"/>
              <w:rPr>
                <w:bCs/>
                <w:sz w:val="18"/>
                <w:szCs w:val="18"/>
              </w:rPr>
            </w:pPr>
            <w:r>
              <w:rPr>
                <w:rFonts w:cs="Times New Roman"/>
                <w:bCs/>
                <w:kern w:val="0"/>
                <w:sz w:val="18"/>
                <w:szCs w:val="18"/>
                <w:lang w:val="ru-RU" w:bidi="ar-SA"/>
              </w:rPr>
              <w:t>19283,92</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16083,3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255,35</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Затраты на оплату труда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1138,9</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352,22</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10321,41</w:t>
            </w:r>
          </w:p>
        </w:tc>
        <w:tc>
          <w:tcPr>
            <w:tcW w:w="1985" w:type="dxa"/>
            <w:tcBorders/>
          </w:tcPr>
          <w:p>
            <w:pPr>
              <w:pStyle w:val="Normal"/>
              <w:spacing w:before="120" w:after="200"/>
              <w:ind w:firstLine="317" w:left="0"/>
              <w:rPr>
                <w:bCs/>
                <w:sz w:val="18"/>
                <w:szCs w:val="18"/>
              </w:rPr>
            </w:pPr>
            <w:r>
              <w:rPr>
                <w:rFonts w:cs="Times New Roman"/>
                <w:bCs/>
                <w:kern w:val="0"/>
                <w:sz w:val="18"/>
                <w:szCs w:val="18"/>
                <w:lang w:val="ru-RU" w:bidi="ar-SA"/>
              </w:rPr>
              <w:t>21066,78</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16652,92</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232,38</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Отчисления на социальные нужды</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3485</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106,37</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3117,07</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6909,91</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5079,14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71,34</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Холодная вода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3787,07</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754,31</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t>776,5</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6442,37</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2306,71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156,93</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Водоотведение</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442,16</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t>74,23</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914,62</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596,43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приобретение материалов и сырья</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8820,28</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1140,51</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1843,26</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2639,62</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5799,4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6,8</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hanging="0" w:left="199"/>
              <w:rPr>
                <w:bCs/>
                <w:sz w:val="18"/>
                <w:szCs w:val="18"/>
              </w:rPr>
            </w:pPr>
            <w:r>
              <w:rPr>
                <w:rFonts w:cs="Times New Roman"/>
                <w:bCs/>
                <w:kern w:val="0"/>
                <w:sz w:val="18"/>
                <w:szCs w:val="18"/>
                <w:lang w:val="ru-RU" w:bidi="ar-SA"/>
              </w:rPr>
              <w:t>22621,3</w:t>
            </w:r>
          </w:p>
        </w:tc>
        <w:tc>
          <w:tcPr>
            <w:tcW w:w="1985" w:type="dxa"/>
            <w:tcBorders/>
          </w:tcPr>
          <w:p>
            <w:pPr>
              <w:pStyle w:val="Normal"/>
              <w:spacing w:before="120" w:after="200"/>
              <w:ind w:hanging="0" w:left="601"/>
              <w:rPr>
                <w:bCs/>
                <w:sz w:val="18"/>
                <w:szCs w:val="18"/>
              </w:rPr>
            </w:pPr>
            <w:r>
              <w:rPr>
                <w:rFonts w:cs="Times New Roman"/>
                <w:bCs/>
                <w:kern w:val="0"/>
                <w:sz w:val="18"/>
                <w:szCs w:val="18"/>
                <w:lang w:val="ru-RU" w:bidi="ar-SA"/>
              </w:rPr>
              <w:t>2214,45</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12924,54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оплату работ и услуг производственного характера, выполняемых по договорам со сторонними организациями</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4281,49</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4503,4</w:t>
            </w:r>
          </w:p>
        </w:tc>
        <w:tc>
          <w:tcPr>
            <w:tcW w:w="1560" w:type="dxa"/>
            <w:tcBorders/>
          </w:tcPr>
          <w:p>
            <w:pPr>
              <w:pStyle w:val="Normal"/>
              <w:spacing w:before="120" w:after="200"/>
              <w:ind w:hanging="283" w:left="482"/>
              <w:rPr>
                <w:bCs/>
                <w:sz w:val="18"/>
                <w:szCs w:val="18"/>
              </w:rPr>
            </w:pPr>
            <w:r>
              <w:rPr>
                <w:rFonts w:cs="Times New Roman"/>
                <w:bCs/>
                <w:kern w:val="0"/>
                <w:sz w:val="18"/>
                <w:szCs w:val="18"/>
                <w:lang w:val="ru-RU" w:bidi="ar-SA"/>
              </w:rPr>
              <w:t>754,65</w:t>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1436,97</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1619,34</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1184,29</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3487,72</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423,22</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служебные командировки</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hanging="0" w:left="199"/>
              <w:rPr>
                <w:bCs/>
                <w:sz w:val="18"/>
                <w:szCs w:val="18"/>
              </w:rPr>
            </w:pPr>
            <w:r>
              <w:rPr>
                <w:rFonts w:cs="Times New Roman"/>
                <w:bCs/>
                <w:kern w:val="0"/>
                <w:sz w:val="18"/>
                <w:szCs w:val="18"/>
                <w:lang w:val="ru-RU" w:bidi="ar-SA"/>
              </w:rPr>
              <w:t>22,49</w:t>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обучение персонала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hanging="283" w:left="482"/>
              <w:rPr>
                <w:bCs/>
                <w:sz w:val="18"/>
                <w:szCs w:val="18"/>
              </w:rPr>
            </w:pPr>
            <w:r>
              <w:rPr>
                <w:rFonts w:cs="Times New Roman"/>
                <w:bCs/>
                <w:kern w:val="0"/>
                <w:sz w:val="18"/>
                <w:szCs w:val="18"/>
                <w:lang w:val="ru-RU" w:bidi="ar-SA"/>
              </w:rPr>
              <w:t>24,7</w:t>
            </w:r>
          </w:p>
        </w:tc>
        <w:tc>
          <w:tcPr>
            <w:tcW w:w="1985" w:type="dxa"/>
            <w:tcBorders/>
          </w:tcPr>
          <w:p>
            <w:pPr>
              <w:pStyle w:val="Normal"/>
              <w:spacing w:before="120" w:after="200"/>
              <w:ind w:hanging="0" w:left="601"/>
              <w:rPr>
                <w:bCs/>
                <w:sz w:val="18"/>
                <w:szCs w:val="18"/>
              </w:rPr>
            </w:pPr>
            <w:r>
              <w:rPr>
                <w:rFonts w:cs="Times New Roman"/>
                <w:bCs/>
                <w:kern w:val="0"/>
                <w:sz w:val="18"/>
                <w:szCs w:val="18"/>
                <w:lang w:val="ru-RU" w:bidi="ar-SA"/>
              </w:rPr>
              <w:t>2219</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Услуги банков</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hanging="283" w:left="482"/>
              <w:rPr>
                <w:bCs/>
                <w:sz w:val="18"/>
                <w:szCs w:val="18"/>
              </w:rPr>
            </w:pPr>
            <w:r>
              <w:rPr>
                <w:rFonts w:cs="Times New Roman"/>
                <w:bCs/>
                <w:kern w:val="0"/>
                <w:sz w:val="18"/>
                <w:szCs w:val="18"/>
                <w:lang w:val="ru-RU" w:bidi="ar-SA"/>
              </w:rPr>
              <w:t>1,57</w:t>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Арендная плата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1750</w:t>
            </w:r>
          </w:p>
        </w:tc>
        <w:tc>
          <w:tcPr>
            <w:tcW w:w="1560" w:type="dxa"/>
            <w:tcBorders/>
          </w:tcPr>
          <w:p>
            <w:pPr>
              <w:pStyle w:val="Normal"/>
              <w:spacing w:before="120" w:after="200"/>
              <w:ind w:firstLine="1448" w:left="199"/>
              <w:rPr>
                <w:bCs/>
                <w:sz w:val="18"/>
                <w:szCs w:val="18"/>
              </w:rPr>
            </w:pPr>
            <w:r>
              <w:rPr>
                <w:rFonts w:cs="Times New Roman"/>
                <w:bCs/>
                <w:kern w:val="0"/>
                <w:sz w:val="18"/>
                <w:szCs w:val="18"/>
                <w:lang w:val="ru-RU" w:bidi="ar-SA"/>
              </w:rPr>
              <w:t>2275,89</w:t>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Прочие операционные расходы</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2039,84</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26,06</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636,96</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3568,35</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82,6</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1960,81</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425,51</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955,03</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7,5</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Амортизация ОС и нематериальных активов</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t>6805</w:t>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2554</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8263,8</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7021,2</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5149,5</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1253,69</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Прочие неподконтрольные расходы</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199" w:left="1080"/>
              <w:rPr>
                <w:bCs/>
                <w:sz w:val="18"/>
                <w:szCs w:val="18"/>
              </w:rPr>
            </w:pPr>
            <w:r>
              <w:rPr>
                <w:rFonts w:cs="Times New Roman"/>
                <w:bCs/>
                <w:kern w:val="0"/>
                <w:sz w:val="18"/>
                <w:szCs w:val="18"/>
                <w:lang w:val="ru-RU" w:bidi="ar-SA"/>
              </w:rPr>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2460</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Корректировка</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-1000</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t>250</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1710,84</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Прибыль</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827,93</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1212,24</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2577,29</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5430,91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120,36</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Нормативная прибыль</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8,8</w:t>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1958,71</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Расчетная предпринимательская прибыль</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56"/>
              <w:jc w:val="center"/>
              <w:rPr>
                <w:bCs/>
                <w:sz w:val="18"/>
                <w:szCs w:val="18"/>
              </w:rPr>
            </w:pPr>
            <w:r>
              <w:rPr>
                <w:rFonts w:cs="Times New Roman"/>
                <w:bCs/>
                <w:kern w:val="0"/>
                <w:sz w:val="18"/>
                <w:szCs w:val="18"/>
                <w:lang w:val="ru-RU" w:bidi="ar-SA"/>
              </w:rPr>
              <w:t>819,13</w:t>
            </w:r>
          </w:p>
        </w:tc>
        <w:tc>
          <w:tcPr>
            <w:tcW w:w="1560" w:type="dxa"/>
            <w:tcBorders/>
          </w:tcPr>
          <w:p>
            <w:pPr>
              <w:pStyle w:val="Normal"/>
              <w:spacing w:before="120" w:after="200"/>
              <w:ind w:firstLine="199" w:left="0"/>
              <w:rPr>
                <w:bCs/>
                <w:sz w:val="18"/>
                <w:szCs w:val="18"/>
              </w:rPr>
            </w:pPr>
            <w:r>
              <w:rPr>
                <w:rFonts w:cs="Times New Roman"/>
                <w:bCs/>
                <w:kern w:val="0"/>
                <w:sz w:val="18"/>
                <w:szCs w:val="18"/>
                <w:lang w:val="ru-RU" w:bidi="ar-SA"/>
              </w:rPr>
              <w:t>1212,24</w:t>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t>2577,29</w:t>
            </w:r>
          </w:p>
        </w:tc>
        <w:tc>
          <w:tcPr>
            <w:tcW w:w="2409" w:type="dxa"/>
            <w:tcBorders/>
          </w:tcPr>
          <w:p>
            <w:pPr>
              <w:pStyle w:val="Normal"/>
              <w:spacing w:before="120" w:after="200"/>
              <w:ind w:hanging="0" w:left="57"/>
              <w:jc w:val="center"/>
              <w:rPr>
                <w:bCs/>
                <w:sz w:val="18"/>
                <w:szCs w:val="18"/>
              </w:rPr>
            </w:pPr>
            <w:r>
              <w:rPr>
                <w:rFonts w:cs="Times New Roman"/>
                <w:bCs/>
                <w:kern w:val="0"/>
                <w:sz w:val="18"/>
                <w:szCs w:val="18"/>
                <w:lang w:val="ru-RU" w:bidi="ar-SA"/>
              </w:rPr>
              <w:t>3472,2</w:t>
            </w:r>
          </w:p>
        </w:tc>
        <w:tc>
          <w:tcPr>
            <w:tcW w:w="1559" w:type="dxa"/>
            <w:tcBorders/>
          </w:tcPr>
          <w:p>
            <w:pPr>
              <w:pStyle w:val="Normal"/>
              <w:spacing w:before="120" w:after="200"/>
              <w:ind w:hanging="0" w:left="198"/>
              <w:jc w:val="center"/>
              <w:rPr>
                <w:bCs/>
                <w:sz w:val="18"/>
                <w:szCs w:val="18"/>
              </w:rPr>
            </w:pPr>
            <w:r>
              <w:rPr>
                <w:rFonts w:cs="Times New Roman"/>
                <w:bCs/>
                <w:kern w:val="0"/>
                <w:sz w:val="18"/>
                <w:szCs w:val="18"/>
                <w:lang w:val="ru-RU" w:bidi="ar-SA"/>
              </w:rPr>
              <w:t>120,36</w:t>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Сумма снижения</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60"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985"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2409"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59" w:type="dxa"/>
            <w:tcBorders/>
          </w:tcPr>
          <w:p>
            <w:pPr>
              <w:pStyle w:val="Normal"/>
              <w:spacing w:before="120" w:after="200"/>
              <w:ind w:hanging="0" w:left="1080"/>
              <w:rPr>
                <w:bCs/>
                <w:sz w:val="18"/>
                <w:szCs w:val="18"/>
              </w:rPr>
            </w:pPr>
            <w:r>
              <w:rPr>
                <w:rFonts w:cs="Times New Roman"/>
                <w:bCs/>
                <w:kern w:val="0"/>
                <w:sz w:val="18"/>
                <w:szCs w:val="18"/>
                <w:lang w:val="ru-RU" w:bidi="ar-SA"/>
              </w:rPr>
            </w:r>
          </w:p>
        </w:tc>
      </w:tr>
      <w:tr>
        <w:trPr/>
        <w:tc>
          <w:tcPr>
            <w:tcW w:w="3227" w:type="dxa"/>
            <w:tcBorders/>
          </w:tcPr>
          <w:p>
            <w:pPr>
              <w:pStyle w:val="Normal"/>
              <w:spacing w:before="120" w:after="200"/>
              <w:ind w:hanging="0" w:left="175"/>
              <w:jc w:val="center"/>
              <w:rPr>
                <w:bCs/>
                <w:sz w:val="18"/>
                <w:szCs w:val="18"/>
              </w:rPr>
            </w:pPr>
            <w:r>
              <w:rPr>
                <w:rFonts w:cs="Times New Roman"/>
                <w:bCs/>
                <w:kern w:val="0"/>
                <w:sz w:val="18"/>
                <w:szCs w:val="18"/>
                <w:lang w:val="ru-RU" w:bidi="ar-SA"/>
              </w:rPr>
              <w:t>Уровень предпринимательской рибыли</w:t>
            </w:r>
          </w:p>
        </w:tc>
        <w:tc>
          <w:tcPr>
            <w:tcW w:w="2126"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left="1080"/>
              <w:rPr>
                <w:bCs/>
                <w:sz w:val="18"/>
                <w:szCs w:val="18"/>
              </w:rPr>
            </w:pPr>
            <w:r>
              <w:rPr>
                <w:rFonts w:cs="Times New Roman"/>
                <w:bCs/>
                <w:kern w:val="0"/>
                <w:sz w:val="18"/>
                <w:szCs w:val="18"/>
                <w:lang w:val="ru-RU" w:bidi="ar-SA"/>
              </w:rPr>
            </w:r>
          </w:p>
        </w:tc>
        <w:tc>
          <w:tcPr>
            <w:tcW w:w="1560" w:type="dxa"/>
            <w:tcBorders/>
          </w:tcPr>
          <w:p>
            <w:pPr>
              <w:pStyle w:val="Normal"/>
              <w:spacing w:before="120" w:after="200"/>
              <w:ind w:left="1080"/>
              <w:rPr>
                <w:bCs/>
                <w:sz w:val="18"/>
                <w:szCs w:val="18"/>
              </w:rPr>
            </w:pPr>
            <w:r>
              <w:rPr>
                <w:rFonts w:cs="Times New Roman"/>
                <w:bCs/>
                <w:kern w:val="0"/>
                <w:sz w:val="18"/>
                <w:szCs w:val="18"/>
                <w:lang w:val="ru-RU" w:bidi="ar-SA"/>
              </w:rPr>
            </w:r>
          </w:p>
        </w:tc>
        <w:tc>
          <w:tcPr>
            <w:tcW w:w="1985" w:type="dxa"/>
            <w:tcBorders/>
          </w:tcPr>
          <w:p>
            <w:pPr>
              <w:pStyle w:val="Normal"/>
              <w:spacing w:before="120" w:after="200"/>
              <w:ind w:left="1080"/>
              <w:rPr>
                <w:bCs/>
                <w:sz w:val="18"/>
                <w:szCs w:val="18"/>
              </w:rPr>
            </w:pPr>
            <w:r>
              <w:rPr>
                <w:rFonts w:cs="Times New Roman"/>
                <w:bCs/>
                <w:kern w:val="0"/>
                <w:sz w:val="18"/>
                <w:szCs w:val="18"/>
                <w:lang w:val="ru-RU" w:bidi="ar-SA"/>
              </w:rPr>
            </w:r>
          </w:p>
        </w:tc>
        <w:tc>
          <w:tcPr>
            <w:tcW w:w="2409" w:type="dxa"/>
            <w:tcBorders/>
          </w:tcPr>
          <w:p>
            <w:pPr>
              <w:pStyle w:val="Normal"/>
              <w:spacing w:before="120" w:after="200"/>
              <w:ind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t>5</w:t>
            </w:r>
          </w:p>
        </w:tc>
      </w:tr>
    </w:tbl>
    <w:p>
      <w:pPr>
        <w:pStyle w:val="Normal"/>
        <w:rPr/>
      </w:pPr>
      <w:r>
        <w:rPr/>
      </w:r>
    </w:p>
    <w:p>
      <w:pPr>
        <w:pStyle w:val="Normal"/>
        <w:spacing w:before="120" w:after="200"/>
        <w:ind w:hanging="0"/>
        <w:rPr>
          <w:b/>
          <w:bCs/>
          <w:sz w:val="20"/>
          <w:szCs w:val="20"/>
        </w:rPr>
      </w:pPr>
      <w:r>
        <w:rPr>
          <w:b/>
          <w:bCs/>
          <w:sz w:val="20"/>
          <w:szCs w:val="20"/>
        </w:rPr>
        <w:t>Таблица 14.3</w:t>
      </w:r>
      <w:r>
        <w:rPr>
          <w:b/>
          <w:bCs/>
          <w:sz w:val="20"/>
          <w:szCs w:val="20"/>
          <w:lang w:eastAsia="ru-RU"/>
        </w:rPr>
        <w:t xml:space="preserve">  (продолжение) </w:t>
      </w:r>
      <w:r>
        <w:rPr>
          <w:b/>
          <w:bCs/>
          <w:sz w:val="20"/>
          <w:szCs w:val="20"/>
        </w:rPr>
        <w:t xml:space="preserve">– Смета затрат  теплоснабжающих организаций г. Калуги утверждённых в тарифах на тепловую энергию 2023 года </w:t>
      </w:r>
    </w:p>
    <w:tbl>
      <w:tblPr>
        <w:tblStyle w:val="aff"/>
        <w:tblW w:w="1346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58"/>
        <w:gridCol w:w="2160"/>
        <w:gridCol w:w="1844"/>
        <w:gridCol w:w="1559"/>
        <w:gridCol w:w="1558"/>
        <w:gridCol w:w="1844"/>
        <w:gridCol w:w="1843"/>
      </w:tblGrid>
      <w:tr>
        <w:trPr>
          <w:tblHeader w:val="true"/>
          <w:trHeight w:val="781" w:hRule="atLeast"/>
        </w:trPr>
        <w:tc>
          <w:tcPr>
            <w:tcW w:w="2658" w:type="dxa"/>
            <w:tcBorders/>
          </w:tcPr>
          <w:p>
            <w:pPr>
              <w:pStyle w:val="Normal"/>
              <w:spacing w:before="120" w:after="200"/>
              <w:ind w:hanging="0" w:left="294"/>
              <w:jc w:val="center"/>
              <w:rPr>
                <w:b/>
                <w:bCs/>
                <w:sz w:val="18"/>
                <w:szCs w:val="18"/>
              </w:rPr>
            </w:pPr>
            <w:r>
              <w:rPr>
                <w:rFonts w:cs="Times New Roman"/>
                <w:b/>
                <w:bCs/>
                <w:kern w:val="0"/>
                <w:sz w:val="18"/>
                <w:szCs w:val="18"/>
                <w:lang w:val="ru-RU" w:bidi="ar-SA"/>
              </w:rPr>
              <w:t>Статья расходов</w:t>
            </w:r>
          </w:p>
        </w:tc>
        <w:tc>
          <w:tcPr>
            <w:tcW w:w="2160" w:type="dxa"/>
            <w:tcBorders/>
          </w:tcPr>
          <w:p>
            <w:pPr>
              <w:pStyle w:val="Normal"/>
              <w:spacing w:before="120" w:after="200"/>
              <w:ind w:hanging="0" w:left="46"/>
              <w:jc w:val="center"/>
              <w:rPr>
                <w:b/>
                <w:bCs/>
                <w:sz w:val="18"/>
                <w:szCs w:val="18"/>
              </w:rPr>
            </w:pPr>
            <w:r>
              <w:rPr>
                <w:rFonts w:eastAsia="Times New Roman" w:cs="Arial"/>
                <w:color w:val="000000"/>
                <w:spacing w:val="0"/>
                <w:kern w:val="0"/>
                <w:sz w:val="20"/>
                <w:szCs w:val="20"/>
                <w:lang w:val="ru-RU" w:eastAsia="ru-RU" w:bidi="ar-SA"/>
              </w:rPr>
              <w:t>АО «Азимут» быв. ОАО "КЗТА")</w:t>
            </w:r>
          </w:p>
        </w:tc>
        <w:tc>
          <w:tcPr>
            <w:tcW w:w="1844" w:type="dxa"/>
            <w:tcBorders/>
          </w:tcPr>
          <w:p>
            <w:pPr>
              <w:pStyle w:val="Normal"/>
              <w:spacing w:before="120" w:after="200"/>
              <w:ind w:hanging="0" w:left="0"/>
              <w:jc w:val="center"/>
              <w:rPr>
                <w:b/>
                <w:bCs/>
                <w:sz w:val="18"/>
                <w:szCs w:val="18"/>
              </w:rPr>
            </w:pPr>
            <w:r>
              <w:rPr>
                <w:rFonts w:cs="Times New Roman"/>
                <w:b/>
                <w:bCs/>
                <w:kern w:val="0"/>
                <w:sz w:val="18"/>
                <w:szCs w:val="18"/>
                <w:lang w:val="ru-RU" w:bidi="ar-SA"/>
              </w:rPr>
              <w:t xml:space="preserve">АО </w:t>
            </w:r>
            <w:r>
              <w:rPr>
                <w:rFonts w:cs="Times New Roman"/>
                <w:b/>
                <w:bCs/>
                <w:kern w:val="0"/>
                <w:sz w:val="17"/>
                <w:szCs w:val="17"/>
                <w:lang w:val="ru-RU" w:bidi="ar-SA"/>
              </w:rPr>
              <w:t>«Калугатехремонт»</w:t>
            </w:r>
          </w:p>
        </w:tc>
        <w:tc>
          <w:tcPr>
            <w:tcW w:w="1559" w:type="dxa"/>
            <w:tcBorders/>
          </w:tcPr>
          <w:p>
            <w:pPr>
              <w:pStyle w:val="Normal"/>
              <w:spacing w:before="120" w:after="200"/>
              <w:ind w:hanging="0" w:left="0"/>
              <w:jc w:val="center"/>
              <w:rPr>
                <w:b/>
                <w:bCs/>
                <w:sz w:val="18"/>
                <w:szCs w:val="18"/>
              </w:rPr>
            </w:pPr>
            <w:r>
              <w:rPr>
                <w:rFonts w:cs="Times New Roman"/>
                <w:b/>
                <w:bCs/>
                <w:kern w:val="0"/>
                <w:sz w:val="18"/>
                <w:szCs w:val="18"/>
                <w:lang w:val="ru-RU" w:bidi="ar-SA"/>
              </w:rPr>
              <w:t>ООО «ПрофИнжиниринг»</w:t>
            </w:r>
          </w:p>
        </w:tc>
        <w:tc>
          <w:tcPr>
            <w:tcW w:w="1558" w:type="dxa"/>
            <w:tcBorders/>
          </w:tcPr>
          <w:p>
            <w:pPr>
              <w:pStyle w:val="Normal"/>
              <w:spacing w:before="120" w:after="200"/>
              <w:ind w:firstLine="317" w:left="0"/>
              <w:rPr>
                <w:b/>
                <w:bCs/>
                <w:sz w:val="18"/>
                <w:szCs w:val="18"/>
              </w:rPr>
            </w:pPr>
            <w:r>
              <w:rPr>
                <w:rFonts w:cs="Times New Roman"/>
                <w:b/>
                <w:bCs/>
                <w:kern w:val="0"/>
                <w:sz w:val="18"/>
                <w:szCs w:val="18"/>
                <w:lang w:val="ru-RU" w:bidi="ar-SA"/>
              </w:rPr>
              <w:t>ООО «Сетевая Компания»</w:t>
            </w:r>
          </w:p>
        </w:tc>
        <w:tc>
          <w:tcPr>
            <w:tcW w:w="1844" w:type="dxa"/>
            <w:tcBorders/>
          </w:tcPr>
          <w:p>
            <w:pPr>
              <w:pStyle w:val="Normal"/>
              <w:spacing w:before="120" w:after="200"/>
              <w:ind w:hanging="0" w:left="57"/>
              <w:jc w:val="center"/>
              <w:rPr>
                <w:b/>
                <w:bCs/>
                <w:sz w:val="18"/>
                <w:szCs w:val="18"/>
              </w:rPr>
            </w:pPr>
            <w:r>
              <w:rPr>
                <w:rFonts w:cs="Times New Roman"/>
                <w:b/>
                <w:bCs/>
                <w:kern w:val="0"/>
                <w:sz w:val="18"/>
                <w:szCs w:val="18"/>
                <w:lang w:val="ru-RU" w:bidi="ar-SA"/>
              </w:rPr>
              <w:t>ООО «ДОМ»</w:t>
            </w:r>
          </w:p>
        </w:tc>
        <w:tc>
          <w:tcPr>
            <w:tcW w:w="1843" w:type="dxa"/>
            <w:tcBorders/>
          </w:tcPr>
          <w:p>
            <w:pPr>
              <w:pStyle w:val="Normal"/>
              <w:spacing w:before="120" w:after="200"/>
              <w:ind w:hanging="0" w:left="198"/>
              <w:jc w:val="center"/>
              <w:rPr>
                <w:b/>
                <w:bCs/>
                <w:sz w:val="18"/>
                <w:szCs w:val="18"/>
              </w:rPr>
            </w:pPr>
            <w:r>
              <w:rPr>
                <w:rFonts w:cs="Times New Roman"/>
                <w:b/>
                <w:bCs/>
                <w:kern w:val="0"/>
                <w:sz w:val="18"/>
                <w:szCs w:val="18"/>
                <w:lang w:val="ru-RU" w:bidi="ar-SA"/>
              </w:rPr>
              <w:t xml:space="preserve">ООО </w:t>
            </w:r>
            <w:r>
              <w:rPr>
                <w:rFonts w:cs="Times New Roman"/>
                <w:b/>
                <w:bCs/>
                <w:kern w:val="0"/>
                <w:sz w:val="17"/>
                <w:szCs w:val="17"/>
                <w:lang w:val="ru-RU" w:bidi="ar-SA"/>
              </w:rPr>
              <w:t>«ТЕРРАИНВЕСТ»</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НВВ</w:t>
            </w:r>
          </w:p>
        </w:tc>
        <w:tc>
          <w:tcPr>
            <w:tcW w:w="2160" w:type="dxa"/>
            <w:tcBorders/>
          </w:tcPr>
          <w:p>
            <w:pPr>
              <w:pStyle w:val="Normal"/>
              <w:spacing w:before="120" w:after="200"/>
              <w:ind w:hanging="0" w:left="188" w:right="176"/>
              <w:jc w:val="center"/>
              <w:rPr>
                <w:bCs/>
                <w:sz w:val="18"/>
                <w:szCs w:val="18"/>
              </w:rPr>
            </w:pPr>
            <w:r>
              <w:rPr>
                <w:rFonts w:cs="Times New Roman"/>
                <w:bCs/>
                <w:kern w:val="0"/>
                <w:sz w:val="18"/>
                <w:szCs w:val="18"/>
                <w:lang w:val="ru-RU" w:bidi="ar-SA"/>
              </w:rPr>
              <w:t>143604,94</w:t>
            </w:r>
          </w:p>
        </w:tc>
        <w:tc>
          <w:tcPr>
            <w:tcW w:w="1844" w:type="dxa"/>
            <w:tcBorders/>
          </w:tcPr>
          <w:p>
            <w:pPr>
              <w:pStyle w:val="Normal"/>
              <w:spacing w:before="120" w:after="200"/>
              <w:ind w:hanging="0" w:left="34"/>
              <w:jc w:val="center"/>
              <w:rPr>
                <w:bCs/>
                <w:sz w:val="18"/>
                <w:szCs w:val="18"/>
              </w:rPr>
            </w:pPr>
            <w:r>
              <w:rPr>
                <w:rFonts w:cs="Times New Roman"/>
                <w:bCs/>
                <w:kern w:val="0"/>
                <w:sz w:val="18"/>
                <w:szCs w:val="18"/>
                <w:lang w:val="ru-RU" w:bidi="ar-SA"/>
              </w:rPr>
              <w:t>16679,76</w:t>
            </w:r>
          </w:p>
        </w:tc>
        <w:tc>
          <w:tcPr>
            <w:tcW w:w="1559" w:type="dxa"/>
            <w:tcBorders/>
            <w:vAlign w:val="center"/>
          </w:tcPr>
          <w:p>
            <w:pPr>
              <w:pStyle w:val="Normal"/>
              <w:spacing w:before="120" w:after="200"/>
              <w:ind w:firstLine="199" w:left="0"/>
              <w:rPr>
                <w:bCs/>
                <w:sz w:val="18"/>
                <w:szCs w:val="18"/>
              </w:rPr>
            </w:pPr>
            <w:r>
              <w:rPr>
                <w:rFonts w:cs="Times New Roman"/>
                <w:bCs/>
                <w:kern w:val="0"/>
                <w:sz w:val="18"/>
                <w:szCs w:val="18"/>
                <w:lang w:val="ru-RU" w:bidi="ar-SA"/>
              </w:rPr>
              <w:t>3554,66</w:t>
            </w:r>
          </w:p>
        </w:tc>
        <w:tc>
          <w:tcPr>
            <w:tcW w:w="1558" w:type="dxa"/>
            <w:tcBorders/>
          </w:tcPr>
          <w:p>
            <w:pPr>
              <w:pStyle w:val="Normal"/>
              <w:spacing w:before="120" w:after="200"/>
              <w:ind w:firstLine="34" w:left="0"/>
              <w:rPr>
                <w:bCs/>
                <w:sz w:val="18"/>
                <w:szCs w:val="18"/>
              </w:rPr>
            </w:pPr>
            <w:r>
              <w:rPr>
                <w:rFonts w:cs="Times New Roman"/>
                <w:bCs/>
                <w:kern w:val="0"/>
                <w:sz w:val="18"/>
                <w:szCs w:val="18"/>
                <w:lang w:val="ru-RU" w:bidi="ar-SA"/>
              </w:rPr>
              <w:t>18425,83</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28428,32</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3383,89</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Налог на прибыль</w:t>
            </w:r>
          </w:p>
        </w:tc>
        <w:tc>
          <w:tcPr>
            <w:tcW w:w="2160"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34"/>
              <w:jc w:val="center"/>
              <w:rPr>
                <w:bCs/>
                <w:sz w:val="18"/>
                <w:szCs w:val="18"/>
              </w:rPr>
            </w:pPr>
            <w:r>
              <w:rPr>
                <w:rFonts w:cs="Times New Roman"/>
                <w:bCs/>
                <w:kern w:val="0"/>
                <w:sz w:val="18"/>
                <w:szCs w:val="18"/>
                <w:lang w:val="ru-RU" w:bidi="ar-SA"/>
              </w:rPr>
            </w:r>
          </w:p>
        </w:tc>
        <w:tc>
          <w:tcPr>
            <w:tcW w:w="1559" w:type="dxa"/>
            <w:tcBorders/>
            <w:vAlign w:val="center"/>
          </w:tcPr>
          <w:p>
            <w:pPr>
              <w:pStyle w:val="Normal"/>
              <w:spacing w:before="120" w:after="200"/>
              <w:ind w:firstLine="567" w:left="0"/>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22,93</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Итого расходов</w:t>
            </w:r>
          </w:p>
        </w:tc>
        <w:tc>
          <w:tcPr>
            <w:tcW w:w="2160" w:type="dxa"/>
            <w:tcBorders/>
          </w:tcPr>
          <w:p>
            <w:pPr>
              <w:pStyle w:val="Normal"/>
              <w:spacing w:before="120" w:after="200"/>
              <w:ind w:hanging="0" w:left="188"/>
              <w:jc w:val="center"/>
              <w:rPr>
                <w:bCs/>
                <w:sz w:val="18"/>
                <w:szCs w:val="18"/>
              </w:rPr>
            </w:pPr>
            <w:r>
              <w:rPr>
                <w:rFonts w:cs="Times New Roman"/>
                <w:bCs/>
                <w:kern w:val="0"/>
                <w:sz w:val="18"/>
                <w:szCs w:val="18"/>
                <w:lang w:val="ru-RU" w:bidi="ar-SA"/>
              </w:rPr>
              <w:t>141491,45</w:t>
            </w:r>
          </w:p>
        </w:tc>
        <w:tc>
          <w:tcPr>
            <w:tcW w:w="1844" w:type="dxa"/>
            <w:tcBorders/>
          </w:tcPr>
          <w:p>
            <w:pPr>
              <w:pStyle w:val="Normal"/>
              <w:spacing w:before="120" w:after="200"/>
              <w:ind w:hanging="0" w:left="34"/>
              <w:jc w:val="center"/>
              <w:rPr>
                <w:bCs/>
                <w:sz w:val="18"/>
                <w:szCs w:val="18"/>
              </w:rPr>
            </w:pPr>
            <w:r>
              <w:rPr>
                <w:rFonts w:cs="Times New Roman"/>
                <w:bCs/>
                <w:kern w:val="0"/>
                <w:sz w:val="18"/>
                <w:szCs w:val="18"/>
                <w:lang w:val="ru-RU" w:bidi="ar-SA"/>
              </w:rPr>
              <w:t>15285,6</w:t>
            </w:r>
          </w:p>
        </w:tc>
        <w:tc>
          <w:tcPr>
            <w:tcW w:w="1559" w:type="dxa"/>
            <w:tcBorders/>
          </w:tcPr>
          <w:p>
            <w:pPr>
              <w:pStyle w:val="Normal"/>
              <w:spacing w:before="120" w:after="200"/>
              <w:ind w:firstLine="199" w:left="57"/>
              <w:rPr>
                <w:bCs/>
                <w:sz w:val="18"/>
                <w:szCs w:val="18"/>
              </w:rPr>
            </w:pPr>
            <w:r>
              <w:rPr>
                <w:rFonts w:cs="Times New Roman"/>
                <w:bCs/>
                <w:kern w:val="0"/>
                <w:sz w:val="18"/>
                <w:szCs w:val="18"/>
                <w:lang w:val="ru-RU" w:bidi="ar-SA"/>
              </w:rPr>
              <w:t>3076,31</w:t>
            </w:r>
          </w:p>
        </w:tc>
        <w:tc>
          <w:tcPr>
            <w:tcW w:w="1558" w:type="dxa"/>
            <w:tcBorders/>
          </w:tcPr>
          <w:p>
            <w:pPr>
              <w:pStyle w:val="Normal"/>
              <w:spacing w:before="120" w:after="200"/>
              <w:ind w:firstLine="34" w:left="0"/>
              <w:rPr>
                <w:bCs/>
                <w:sz w:val="18"/>
                <w:szCs w:val="18"/>
              </w:rPr>
            </w:pPr>
            <w:r>
              <w:rPr>
                <w:rFonts w:cs="Times New Roman"/>
                <w:bCs/>
                <w:kern w:val="0"/>
                <w:sz w:val="18"/>
                <w:szCs w:val="18"/>
                <w:lang w:val="ru-RU" w:bidi="ar-SA"/>
              </w:rPr>
              <w:t>18251,71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27124,99</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3298,58</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Налог по упращенной системе налогообложения</w:t>
            </w:r>
          </w:p>
        </w:tc>
        <w:tc>
          <w:tcPr>
            <w:tcW w:w="2160"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34"/>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199" w:left="57"/>
              <w:rPr>
                <w:bCs/>
                <w:sz w:val="18"/>
                <w:szCs w:val="18"/>
              </w:rPr>
            </w:pPr>
            <w:r>
              <w:rPr>
                <w:rFonts w:cs="Times New Roman"/>
                <w:bCs/>
                <w:kern w:val="0"/>
                <w:sz w:val="18"/>
                <w:szCs w:val="18"/>
                <w:lang w:val="ru-RU" w:bidi="ar-SA"/>
              </w:rPr>
            </w:r>
          </w:p>
        </w:tc>
        <w:tc>
          <w:tcPr>
            <w:tcW w:w="1558" w:type="dxa"/>
            <w:tcBorders/>
          </w:tcPr>
          <w:p>
            <w:pPr>
              <w:pStyle w:val="Normal"/>
              <w:spacing w:before="120" w:after="200"/>
              <w:ind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277,23</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Итого расходов  (без налога на прибыль)</w:t>
            </w:r>
          </w:p>
        </w:tc>
        <w:tc>
          <w:tcPr>
            <w:tcW w:w="2160" w:type="dxa"/>
            <w:tcBorders/>
          </w:tcPr>
          <w:p>
            <w:pPr>
              <w:pStyle w:val="Normal"/>
              <w:spacing w:before="120" w:after="200"/>
              <w:ind w:hanging="0" w:left="188"/>
              <w:jc w:val="center"/>
              <w:rPr>
                <w:bCs/>
                <w:sz w:val="18"/>
                <w:szCs w:val="18"/>
              </w:rPr>
            </w:pPr>
            <w:r>
              <w:rPr>
                <w:rFonts w:cs="Times New Roman"/>
                <w:bCs/>
                <w:kern w:val="0"/>
                <w:sz w:val="18"/>
                <w:szCs w:val="18"/>
                <w:lang w:val="ru-RU" w:bidi="ar-SA"/>
              </w:rPr>
            </w:r>
          </w:p>
        </w:tc>
        <w:tc>
          <w:tcPr>
            <w:tcW w:w="1844" w:type="dxa"/>
            <w:tcBorders/>
          </w:tcPr>
          <w:p>
            <w:pPr>
              <w:pStyle w:val="Normal"/>
              <w:spacing w:before="120" w:after="200"/>
              <w:ind w:firstLine="198" w:left="0"/>
              <w:rPr>
                <w:bCs/>
                <w:sz w:val="18"/>
                <w:szCs w:val="18"/>
              </w:rPr>
            </w:pPr>
            <w:r>
              <w:rPr>
                <w:rFonts w:cs="Times New Roman"/>
                <w:bCs/>
                <w:kern w:val="0"/>
                <w:sz w:val="18"/>
                <w:szCs w:val="18"/>
                <w:lang w:val="ru-RU" w:bidi="ar-SA"/>
              </w:rPr>
              <w:t>15285,6</w:t>
            </w:r>
          </w:p>
        </w:tc>
        <w:tc>
          <w:tcPr>
            <w:tcW w:w="1559" w:type="dxa"/>
            <w:tcBorders/>
          </w:tcPr>
          <w:p>
            <w:pPr>
              <w:pStyle w:val="Normal"/>
              <w:spacing w:before="120" w:after="200"/>
              <w:ind w:firstLine="57" w:left="0"/>
              <w:rPr>
                <w:bCs/>
                <w:sz w:val="18"/>
                <w:szCs w:val="18"/>
              </w:rPr>
            </w:pPr>
            <w:r>
              <w:rPr>
                <w:rFonts w:cs="Times New Roman"/>
                <w:bCs/>
                <w:kern w:val="0"/>
                <w:sz w:val="18"/>
                <w:szCs w:val="18"/>
                <w:lang w:val="ru-RU" w:bidi="ar-SA"/>
              </w:rPr>
              <w:t>3076,31</w:t>
            </w:r>
          </w:p>
        </w:tc>
        <w:tc>
          <w:tcPr>
            <w:tcW w:w="1558" w:type="dxa"/>
            <w:tcBorders/>
          </w:tcPr>
          <w:p>
            <w:pPr>
              <w:pStyle w:val="Normal"/>
              <w:spacing w:before="120" w:after="200"/>
              <w:ind w:firstLine="175" w:left="0"/>
              <w:rPr>
                <w:bCs/>
                <w:sz w:val="18"/>
                <w:szCs w:val="18"/>
              </w:rPr>
            </w:pPr>
            <w:r>
              <w:rPr>
                <w:rFonts w:cs="Times New Roman"/>
                <w:bCs/>
                <w:kern w:val="0"/>
                <w:sz w:val="18"/>
                <w:szCs w:val="18"/>
                <w:lang w:val="ru-RU" w:bidi="ar-SA"/>
              </w:rPr>
              <w:t>18 228,78</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26847,77</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3298,58</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Стоимость натурального топлива</w:t>
            </w:r>
          </w:p>
        </w:tc>
        <w:tc>
          <w:tcPr>
            <w:tcW w:w="2160" w:type="dxa"/>
            <w:tcBorders/>
          </w:tcPr>
          <w:p>
            <w:pPr>
              <w:pStyle w:val="Normal"/>
              <w:spacing w:before="120" w:after="200"/>
              <w:ind w:hanging="586" w:left="1080"/>
              <w:rPr>
                <w:bCs/>
                <w:sz w:val="18"/>
                <w:szCs w:val="18"/>
              </w:rPr>
            </w:pPr>
            <w:r>
              <w:rPr>
                <w:rFonts w:cs="Times New Roman"/>
                <w:bCs/>
                <w:kern w:val="0"/>
                <w:sz w:val="18"/>
                <w:szCs w:val="18"/>
                <w:lang w:val="ru-RU" w:bidi="ar-SA"/>
              </w:rPr>
              <w:t>83421,56</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7598,49</w:t>
            </w:r>
          </w:p>
        </w:tc>
        <w:tc>
          <w:tcPr>
            <w:tcW w:w="1559" w:type="dxa"/>
            <w:tcBorders/>
          </w:tcPr>
          <w:p>
            <w:pPr>
              <w:pStyle w:val="Normal"/>
              <w:spacing w:before="120" w:after="200"/>
              <w:ind w:firstLine="57" w:left="0"/>
              <w:rPr>
                <w:bCs/>
                <w:sz w:val="18"/>
                <w:szCs w:val="18"/>
              </w:rPr>
            </w:pPr>
            <w:r>
              <w:rPr>
                <w:rFonts w:cs="Times New Roman"/>
                <w:bCs/>
                <w:kern w:val="0"/>
                <w:sz w:val="18"/>
                <w:szCs w:val="18"/>
                <w:lang w:val="ru-RU" w:bidi="ar-SA"/>
              </w:rPr>
              <w:t>1404,01</w:t>
            </w:r>
          </w:p>
        </w:tc>
        <w:tc>
          <w:tcPr>
            <w:tcW w:w="1558" w:type="dxa"/>
            <w:tcBorders/>
          </w:tcPr>
          <w:p>
            <w:pPr>
              <w:pStyle w:val="Normal"/>
              <w:spacing w:before="120" w:after="200"/>
              <w:ind w:firstLine="175" w:left="0"/>
              <w:rPr>
                <w:bCs/>
                <w:sz w:val="18"/>
                <w:szCs w:val="18"/>
              </w:rPr>
            </w:pPr>
            <w:r>
              <w:rPr>
                <w:rFonts w:cs="Times New Roman"/>
                <w:bCs/>
                <w:kern w:val="0"/>
                <w:sz w:val="18"/>
                <w:szCs w:val="18"/>
                <w:lang w:val="ru-RU" w:bidi="ar-SA"/>
              </w:rPr>
              <w:t>9647,15</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14893,16</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1591,94</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Энергия, в т.ч.</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14035,66</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1058,09</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203,21</w:t>
            </w:r>
          </w:p>
        </w:tc>
        <w:tc>
          <w:tcPr>
            <w:tcW w:w="1558" w:type="dxa"/>
            <w:tcBorders/>
          </w:tcPr>
          <w:p>
            <w:pPr>
              <w:pStyle w:val="Normal"/>
              <w:spacing w:before="120" w:after="200"/>
              <w:ind w:firstLine="175" w:left="0"/>
              <w:rPr>
                <w:bCs/>
                <w:sz w:val="18"/>
                <w:szCs w:val="18"/>
              </w:rPr>
            </w:pPr>
            <w:r>
              <w:rPr>
                <w:rFonts w:cs="Times New Roman"/>
                <w:bCs/>
                <w:kern w:val="0"/>
                <w:sz w:val="18"/>
                <w:szCs w:val="18"/>
                <w:lang w:val="ru-RU" w:bidi="ar-SA"/>
              </w:rPr>
              <w:t>1628,21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2178,79</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305,82</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затраты на покупную электрическую энергию</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14035,66</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1058,09</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203,21</w:t>
            </w:r>
          </w:p>
        </w:tc>
        <w:tc>
          <w:tcPr>
            <w:tcW w:w="1558" w:type="dxa"/>
            <w:tcBorders/>
          </w:tcPr>
          <w:p>
            <w:pPr>
              <w:pStyle w:val="Normal"/>
              <w:spacing w:before="120" w:after="200"/>
              <w:ind w:firstLine="175" w:left="0"/>
              <w:rPr>
                <w:bCs/>
                <w:sz w:val="18"/>
                <w:szCs w:val="18"/>
              </w:rPr>
            </w:pPr>
            <w:r>
              <w:rPr>
                <w:rFonts w:cs="Times New Roman"/>
                <w:bCs/>
                <w:kern w:val="0"/>
                <w:sz w:val="18"/>
                <w:szCs w:val="18"/>
                <w:lang w:val="ru-RU" w:bidi="ar-SA"/>
              </w:rPr>
              <w:t>1628,21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2178,79</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305,82</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Затраты на оплату труда</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17453,49</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2747,06</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862,79</w:t>
            </w:r>
          </w:p>
        </w:tc>
        <w:tc>
          <w:tcPr>
            <w:tcW w:w="1558" w:type="dxa"/>
            <w:tcBorders/>
          </w:tcPr>
          <w:p>
            <w:pPr>
              <w:pStyle w:val="Normal"/>
              <w:spacing w:before="120" w:after="200"/>
              <w:ind w:firstLine="317" w:left="0"/>
              <w:rPr>
                <w:bCs/>
                <w:sz w:val="18"/>
                <w:szCs w:val="18"/>
              </w:rPr>
            </w:pPr>
            <w:r>
              <w:rPr>
                <w:rFonts w:cs="Times New Roman"/>
                <w:bCs/>
                <w:kern w:val="0"/>
                <w:sz w:val="18"/>
                <w:szCs w:val="18"/>
                <w:lang w:val="ru-RU" w:bidi="ar-SA"/>
              </w:rPr>
              <w:t>132,59</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2431,65</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573,41</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Отчисления на социальные нужды</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5340,77</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840,6</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260,56</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40,04</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729,5</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173,17</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Холодная вода</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2154,4</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220,18</w:t>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t>41,15</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65,06</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395,7</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43,19</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Водоотведение</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478,01</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45,54</w:t>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81,85</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приобретение материалов и сырья</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8423,83</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845,43</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127,25</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158,02</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232,53</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31,8</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1080" w:left="199"/>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1046" w:left="601"/>
              <w:rPr>
                <w:bCs/>
                <w:sz w:val="18"/>
                <w:szCs w:val="18"/>
              </w:rPr>
            </w:pPr>
            <w:r>
              <w:rPr>
                <w:rFonts w:cs="Times New Roman"/>
                <w:bCs/>
                <w:kern w:val="0"/>
                <w:sz w:val="18"/>
                <w:szCs w:val="18"/>
                <w:lang w:val="ru-RU" w:bidi="ar-SA"/>
              </w:rPr>
              <w:t>22184,91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98,72</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оплату работ и услуг производственного характера, выполняемых по договорам со сторонними организациями</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1522,62</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56,66</w:t>
            </w:r>
          </w:p>
        </w:tc>
        <w:tc>
          <w:tcPr>
            <w:tcW w:w="1559" w:type="dxa"/>
            <w:tcBorders/>
          </w:tcPr>
          <w:p>
            <w:pPr>
              <w:pStyle w:val="Normal"/>
              <w:spacing w:before="120" w:after="200"/>
              <w:ind w:hanging="283" w:left="482"/>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1046" w:left="601"/>
              <w:rPr>
                <w:bCs/>
                <w:sz w:val="18"/>
                <w:szCs w:val="18"/>
              </w:rPr>
            </w:pPr>
            <w:r>
              <w:rPr>
                <w:rFonts w:cs="Times New Roman"/>
                <w:bCs/>
                <w:kern w:val="0"/>
                <w:sz w:val="18"/>
                <w:szCs w:val="18"/>
                <w:lang w:val="ru-RU" w:bidi="ar-SA"/>
              </w:rPr>
              <w:t>664,91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1204,86</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386,26</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958,12</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499,99</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88,57</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166,5</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1723,51</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служебные командировки</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4,31</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1080" w:left="199"/>
              <w:rPr>
                <w:bCs/>
                <w:sz w:val="18"/>
                <w:szCs w:val="18"/>
              </w:rPr>
            </w:pPr>
            <w:r>
              <w:rPr>
                <w:rFonts w:cs="Times New Roman"/>
                <w:bCs/>
                <w:kern w:val="0"/>
                <w:sz w:val="18"/>
                <w:szCs w:val="18"/>
                <w:lang w:val="ru-RU" w:bidi="ar-SA"/>
              </w:rPr>
            </w:r>
          </w:p>
        </w:tc>
        <w:tc>
          <w:tcPr>
            <w:tcW w:w="1558" w:type="dxa"/>
            <w:tcBorders/>
          </w:tcPr>
          <w:p>
            <w:pPr>
              <w:pStyle w:val="Normal"/>
              <w:spacing w:before="120" w:after="200"/>
              <w:ind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обучение персонала</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68,59</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11,66</w:t>
            </w:r>
          </w:p>
        </w:tc>
        <w:tc>
          <w:tcPr>
            <w:tcW w:w="1559" w:type="dxa"/>
            <w:tcBorders/>
          </w:tcPr>
          <w:p>
            <w:pPr>
              <w:pStyle w:val="Normal"/>
              <w:spacing w:before="120" w:after="200"/>
              <w:ind w:hanging="283" w:left="482"/>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1046" w:left="601"/>
              <w:rPr>
                <w:bCs/>
                <w:sz w:val="18"/>
                <w:szCs w:val="18"/>
              </w:rPr>
            </w:pPr>
            <w:r>
              <w:rPr>
                <w:rFonts w:cs="Times New Roman"/>
                <w:bCs/>
                <w:kern w:val="0"/>
                <w:sz w:val="18"/>
                <w:szCs w:val="18"/>
                <w:lang w:val="ru-RU" w:bidi="ar-SA"/>
              </w:rPr>
              <w:t>110,17</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43,14</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Услуги банков</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hanging="283" w:left="482"/>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1046" w:left="601"/>
              <w:rPr>
                <w:bCs/>
                <w:sz w:val="18"/>
                <w:szCs w:val="18"/>
              </w:rPr>
            </w:pPr>
            <w:r>
              <w:rPr>
                <w:rFonts w:cs="Times New Roman"/>
                <w:bCs/>
                <w:kern w:val="0"/>
                <w:sz w:val="18"/>
                <w:szCs w:val="18"/>
                <w:lang w:val="ru-RU" w:bidi="ar-SA"/>
              </w:rPr>
              <w:t>11,61</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Арендная плата</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2,5</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77,02</w:t>
            </w:r>
          </w:p>
        </w:tc>
        <w:tc>
          <w:tcPr>
            <w:tcW w:w="1559" w:type="dxa"/>
            <w:tcBorders/>
          </w:tcPr>
          <w:p>
            <w:pPr>
              <w:pStyle w:val="Normal"/>
              <w:spacing w:before="120" w:after="200"/>
              <w:ind w:firstLine="1448" w:left="199"/>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1188" w:left="459"/>
              <w:rPr>
                <w:bCs/>
                <w:sz w:val="18"/>
                <w:szCs w:val="18"/>
              </w:rPr>
            </w:pPr>
            <w:r>
              <w:rPr>
                <w:rFonts w:cs="Times New Roman"/>
                <w:bCs/>
                <w:kern w:val="0"/>
                <w:sz w:val="18"/>
                <w:szCs w:val="18"/>
                <w:lang w:val="ru-RU" w:bidi="ar-SA"/>
              </w:rPr>
              <w:t>44029,23</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Прочие операционные расходы</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623,37</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13,59</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565,37</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186,25</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16,76</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100,37</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48,67</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Расходы по сомнительным долгам</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199" w:left="1080"/>
              <w:rPr>
                <w:bCs/>
                <w:sz w:val="18"/>
                <w:szCs w:val="18"/>
              </w:rPr>
            </w:pPr>
            <w:r>
              <w:rPr>
                <w:rFonts w:cs="Times New Roman"/>
                <w:bCs/>
                <w:kern w:val="0"/>
                <w:sz w:val="18"/>
                <w:szCs w:val="18"/>
                <w:lang w:val="ru-RU" w:bidi="ar-SA"/>
              </w:rPr>
            </w:r>
          </w:p>
        </w:tc>
        <w:tc>
          <w:tcPr>
            <w:tcW w:w="1558" w:type="dxa"/>
            <w:tcBorders/>
          </w:tcPr>
          <w:p>
            <w:pPr>
              <w:pStyle w:val="Normal"/>
              <w:spacing w:before="120" w:after="200"/>
              <w:ind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473,36</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Амортизация ОС и нематериальных активов</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6438,85</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1085,05</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72</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2312,34</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193</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Прочие неподконтрольные расходы</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199" w:left="1080"/>
              <w:rPr>
                <w:bCs/>
                <w:sz w:val="18"/>
                <w:szCs w:val="18"/>
              </w:rPr>
            </w:pPr>
            <w:r>
              <w:rPr>
                <w:rFonts w:cs="Times New Roman"/>
                <w:bCs/>
                <w:kern w:val="0"/>
                <w:sz w:val="18"/>
                <w:szCs w:val="18"/>
                <w:lang w:val="ru-RU" w:bidi="ar-SA"/>
              </w:rPr>
            </w:r>
          </w:p>
        </w:tc>
        <w:tc>
          <w:tcPr>
            <w:tcW w:w="1558" w:type="dxa"/>
            <w:tcBorders/>
          </w:tcPr>
          <w:p>
            <w:pPr>
              <w:pStyle w:val="Normal"/>
              <w:spacing w:before="120" w:after="200"/>
              <w:ind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Корректировка</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-790</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9,8</w:t>
            </w:r>
          </w:p>
        </w:tc>
        <w:tc>
          <w:tcPr>
            <w:tcW w:w="1559" w:type="dxa"/>
            <w:tcBorders/>
          </w:tcPr>
          <w:p>
            <w:pPr>
              <w:pStyle w:val="Normal"/>
              <w:spacing w:before="120" w:after="200"/>
              <w:ind w:firstLine="340" w:left="0"/>
              <w:rPr>
                <w:bCs/>
                <w:sz w:val="18"/>
                <w:szCs w:val="18"/>
              </w:rPr>
            </w:pPr>
            <w:r>
              <w:rPr>
                <w:rFonts w:cs="Times New Roman"/>
                <w:bCs/>
                <w:kern w:val="0"/>
                <w:sz w:val="18"/>
                <w:szCs w:val="18"/>
                <w:lang w:val="ru-RU" w:bidi="ar-SA"/>
              </w:rPr>
              <w:t>373,05</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-346,68</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705,6</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Прибыль</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2903,49</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384,36</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105,3</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520,8</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597,73</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85,29</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Нормативная прибыль</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t>21,69</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91,72</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Расчетная предпринимательская прибыль</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t>2903,49</w:t>
            </w:r>
          </w:p>
        </w:tc>
        <w:tc>
          <w:tcPr>
            <w:tcW w:w="1844" w:type="dxa"/>
            <w:tcBorders/>
          </w:tcPr>
          <w:p>
            <w:pPr>
              <w:pStyle w:val="Normal"/>
              <w:spacing w:before="120" w:after="200"/>
              <w:ind w:hanging="0" w:left="56"/>
              <w:jc w:val="center"/>
              <w:rPr>
                <w:bCs/>
                <w:sz w:val="18"/>
                <w:szCs w:val="18"/>
              </w:rPr>
            </w:pPr>
            <w:r>
              <w:rPr>
                <w:rFonts w:cs="Times New Roman"/>
                <w:bCs/>
                <w:kern w:val="0"/>
                <w:sz w:val="18"/>
                <w:szCs w:val="18"/>
                <w:lang w:val="ru-RU" w:bidi="ar-SA"/>
              </w:rPr>
              <w:t>384,36</w:t>
            </w:r>
          </w:p>
        </w:tc>
        <w:tc>
          <w:tcPr>
            <w:tcW w:w="1559" w:type="dxa"/>
            <w:tcBorders/>
          </w:tcPr>
          <w:p>
            <w:pPr>
              <w:pStyle w:val="Normal"/>
              <w:spacing w:before="120" w:after="200"/>
              <w:ind w:firstLine="199" w:left="0"/>
              <w:rPr>
                <w:bCs/>
                <w:sz w:val="18"/>
                <w:szCs w:val="18"/>
              </w:rPr>
            </w:pPr>
            <w:r>
              <w:rPr>
                <w:rFonts w:cs="Times New Roman"/>
                <w:bCs/>
                <w:kern w:val="0"/>
                <w:sz w:val="18"/>
                <w:szCs w:val="18"/>
                <w:lang w:val="ru-RU" w:bidi="ar-SA"/>
              </w:rPr>
              <w:t>83,61</w:t>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t>429,08</w:t>
            </w:r>
          </w:p>
        </w:tc>
        <w:tc>
          <w:tcPr>
            <w:tcW w:w="1844" w:type="dxa"/>
            <w:tcBorders/>
          </w:tcPr>
          <w:p>
            <w:pPr>
              <w:pStyle w:val="Normal"/>
              <w:spacing w:before="120" w:after="200"/>
              <w:ind w:hanging="0" w:left="57"/>
              <w:jc w:val="center"/>
              <w:rPr>
                <w:bCs/>
                <w:sz w:val="18"/>
                <w:szCs w:val="18"/>
              </w:rPr>
            </w:pPr>
            <w:r>
              <w:rPr>
                <w:rFonts w:cs="Times New Roman"/>
                <w:bCs/>
                <w:kern w:val="0"/>
                <w:sz w:val="18"/>
                <w:szCs w:val="18"/>
                <w:lang w:val="ru-RU" w:bidi="ar-SA"/>
              </w:rPr>
              <w:t>597,73</w:t>
            </w:r>
          </w:p>
        </w:tc>
        <w:tc>
          <w:tcPr>
            <w:tcW w:w="1843" w:type="dxa"/>
            <w:tcBorders/>
          </w:tcPr>
          <w:p>
            <w:pPr>
              <w:pStyle w:val="Normal"/>
              <w:spacing w:before="120" w:after="200"/>
              <w:ind w:hanging="0" w:left="198"/>
              <w:jc w:val="center"/>
              <w:rPr>
                <w:bCs/>
                <w:sz w:val="18"/>
                <w:szCs w:val="18"/>
              </w:rPr>
            </w:pPr>
            <w:r>
              <w:rPr>
                <w:rFonts w:cs="Times New Roman"/>
                <w:bCs/>
                <w:kern w:val="0"/>
                <w:sz w:val="18"/>
                <w:szCs w:val="18"/>
                <w:lang w:val="ru-RU" w:bidi="ar-SA"/>
              </w:rPr>
              <w:t>85,29</w:t>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Сумма снижения</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59"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558"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844" w:type="dxa"/>
            <w:tcBorders/>
          </w:tcPr>
          <w:p>
            <w:pPr>
              <w:pStyle w:val="Normal"/>
              <w:spacing w:before="120" w:after="200"/>
              <w:ind w:firstLine="567" w:left="0"/>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080"/>
              <w:rPr>
                <w:bCs/>
                <w:sz w:val="18"/>
                <w:szCs w:val="18"/>
              </w:rPr>
            </w:pPr>
            <w:r>
              <w:rPr>
                <w:rFonts w:cs="Times New Roman"/>
                <w:bCs/>
                <w:kern w:val="0"/>
                <w:sz w:val="18"/>
                <w:szCs w:val="18"/>
                <w:lang w:val="ru-RU" w:bidi="ar-SA"/>
              </w:rPr>
            </w:r>
          </w:p>
        </w:tc>
      </w:tr>
      <w:tr>
        <w:trPr/>
        <w:tc>
          <w:tcPr>
            <w:tcW w:w="2658" w:type="dxa"/>
            <w:tcBorders/>
          </w:tcPr>
          <w:p>
            <w:pPr>
              <w:pStyle w:val="Normal"/>
              <w:spacing w:before="120" w:after="200"/>
              <w:ind w:hanging="0" w:left="175"/>
              <w:jc w:val="center"/>
              <w:rPr>
                <w:bCs/>
                <w:sz w:val="18"/>
                <w:szCs w:val="18"/>
              </w:rPr>
            </w:pPr>
            <w:r>
              <w:rPr>
                <w:rFonts w:cs="Times New Roman"/>
                <w:bCs/>
                <w:kern w:val="0"/>
                <w:sz w:val="18"/>
                <w:szCs w:val="18"/>
                <w:lang w:val="ru-RU" w:bidi="ar-SA"/>
              </w:rPr>
              <w:t>Уровень предпринимательской рибыли</w:t>
            </w:r>
          </w:p>
        </w:tc>
        <w:tc>
          <w:tcPr>
            <w:tcW w:w="2160" w:type="dxa"/>
            <w:tcBorders/>
          </w:tcPr>
          <w:p>
            <w:pPr>
              <w:pStyle w:val="Normal"/>
              <w:spacing w:before="120" w:after="200"/>
              <w:ind w:hanging="0"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left="1080"/>
              <w:rPr>
                <w:bCs/>
                <w:sz w:val="18"/>
                <w:szCs w:val="18"/>
              </w:rPr>
            </w:pPr>
            <w:r>
              <w:rPr>
                <w:rFonts w:cs="Times New Roman"/>
                <w:bCs/>
                <w:kern w:val="0"/>
                <w:sz w:val="18"/>
                <w:szCs w:val="18"/>
                <w:lang w:val="ru-RU" w:bidi="ar-SA"/>
              </w:rPr>
            </w:r>
          </w:p>
        </w:tc>
        <w:tc>
          <w:tcPr>
            <w:tcW w:w="1559" w:type="dxa"/>
            <w:tcBorders/>
          </w:tcPr>
          <w:p>
            <w:pPr>
              <w:pStyle w:val="Normal"/>
              <w:spacing w:before="120" w:after="200"/>
              <w:ind w:left="1080"/>
              <w:rPr>
                <w:bCs/>
                <w:sz w:val="18"/>
                <w:szCs w:val="18"/>
              </w:rPr>
            </w:pPr>
            <w:r>
              <w:rPr>
                <w:rFonts w:cs="Times New Roman"/>
                <w:bCs/>
                <w:kern w:val="0"/>
                <w:sz w:val="18"/>
                <w:szCs w:val="18"/>
                <w:lang w:val="ru-RU" w:bidi="ar-SA"/>
              </w:rPr>
            </w:r>
          </w:p>
        </w:tc>
        <w:tc>
          <w:tcPr>
            <w:tcW w:w="1558" w:type="dxa"/>
            <w:tcBorders/>
          </w:tcPr>
          <w:p>
            <w:pPr>
              <w:pStyle w:val="Normal"/>
              <w:spacing w:before="120" w:after="200"/>
              <w:ind w:left="1080"/>
              <w:rPr>
                <w:bCs/>
                <w:sz w:val="18"/>
                <w:szCs w:val="18"/>
              </w:rPr>
            </w:pPr>
            <w:r>
              <w:rPr>
                <w:rFonts w:cs="Times New Roman"/>
                <w:bCs/>
                <w:kern w:val="0"/>
                <w:sz w:val="18"/>
                <w:szCs w:val="18"/>
                <w:lang w:val="ru-RU" w:bidi="ar-SA"/>
              </w:rPr>
            </w:r>
          </w:p>
        </w:tc>
        <w:tc>
          <w:tcPr>
            <w:tcW w:w="1844" w:type="dxa"/>
            <w:tcBorders/>
          </w:tcPr>
          <w:p>
            <w:pPr>
              <w:pStyle w:val="Normal"/>
              <w:spacing w:before="120" w:after="200"/>
              <w:ind w:left="1080"/>
              <w:rPr>
                <w:bCs/>
                <w:sz w:val="18"/>
                <w:szCs w:val="18"/>
              </w:rPr>
            </w:pPr>
            <w:r>
              <w:rPr>
                <w:rFonts w:cs="Times New Roman"/>
                <w:bCs/>
                <w:kern w:val="0"/>
                <w:sz w:val="18"/>
                <w:szCs w:val="18"/>
                <w:lang w:val="ru-RU" w:bidi="ar-SA"/>
              </w:rPr>
            </w:r>
          </w:p>
        </w:tc>
        <w:tc>
          <w:tcPr>
            <w:tcW w:w="1843" w:type="dxa"/>
            <w:tcBorders/>
          </w:tcPr>
          <w:p>
            <w:pPr>
              <w:pStyle w:val="Normal"/>
              <w:spacing w:before="120" w:after="200"/>
              <w:ind w:hanging="0" w:left="1080"/>
              <w:rPr>
                <w:bCs/>
                <w:sz w:val="18"/>
                <w:szCs w:val="18"/>
              </w:rPr>
            </w:pPr>
            <w:r>
              <w:rPr>
                <w:rFonts w:cs="Times New Roman"/>
                <w:bCs/>
                <w:kern w:val="0"/>
                <w:sz w:val="18"/>
                <w:szCs w:val="18"/>
                <w:lang w:val="ru-RU" w:bidi="ar-SA"/>
              </w:rPr>
            </w:r>
          </w:p>
        </w:tc>
      </w:tr>
    </w:tbl>
    <w:p>
      <w:pPr>
        <w:pStyle w:val="Normal"/>
        <w:rPr/>
      </w:pPr>
      <w:r>
        <w:rPr/>
      </w:r>
    </w:p>
    <w:p>
      <w:pPr>
        <w:pStyle w:val="Normal"/>
        <w:rPr/>
      </w:pPr>
      <w:r>
        <w:rPr/>
      </w:r>
    </w:p>
    <w:p>
      <w:pPr>
        <w:pStyle w:val="Normal"/>
        <w:rPr/>
      </w:pPr>
      <w:r>
        <w:rPr/>
      </w:r>
    </w:p>
    <w:p>
      <w:pPr>
        <w:pStyle w:val="Normal"/>
        <w:rPr/>
      </w:pPr>
      <w:r>
        <w:rPr/>
      </w:r>
    </w:p>
    <w:tbl>
      <w:tblPr>
        <w:tblW w:w="1829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0"/>
        <w:gridCol w:w="236"/>
        <w:gridCol w:w="79"/>
        <w:gridCol w:w="1950"/>
        <w:gridCol w:w="1776"/>
        <w:gridCol w:w="964"/>
        <w:gridCol w:w="949"/>
        <w:gridCol w:w="1702"/>
        <w:gridCol w:w="1390"/>
        <w:gridCol w:w="2314"/>
        <w:gridCol w:w="856"/>
        <w:gridCol w:w="2695"/>
        <w:gridCol w:w="206"/>
        <w:gridCol w:w="2062"/>
        <w:gridCol w:w="1033"/>
      </w:tblGrid>
      <w:tr>
        <w:trPr>
          <w:trHeight w:val="20" w:hRule="atLeast"/>
        </w:trPr>
        <w:tc>
          <w:tcPr>
            <w:tcW w:w="80" w:type="dxa"/>
            <w:tcBorders/>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6"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943" w:type="dxa"/>
            <w:gridSpan w:val="12"/>
            <w:tcBorders/>
            <w:shd w:color="auto" w:fill="auto" w:val="clear"/>
            <w:vAlign w:val="bottom"/>
          </w:tcPr>
          <w:p>
            <w:pPr>
              <w:pStyle w:val="Normal"/>
              <w:widowControl/>
              <w:spacing w:before="0" w:after="0"/>
              <w:ind w:hanging="0" w:right="2337"/>
              <w:jc w:val="left"/>
              <w:textAlignment w:val="auto"/>
              <w:rPr>
                <w:rFonts w:eastAsia="Times New Roman" w:cs="Arial"/>
                <w:b/>
                <w:bCs/>
                <w:spacing w:val="0"/>
                <w:sz w:val="16"/>
                <w:szCs w:val="16"/>
                <w:lang w:eastAsia="ru-RU"/>
              </w:rPr>
            </w:pPr>
            <w:bookmarkStart w:id="216" w:name="_Toc71036194"/>
            <w:r>
              <w:rPr>
                <w:b/>
                <w:bCs/>
                <w:sz w:val="18"/>
                <w:szCs w:val="18"/>
              </w:rPr>
              <w:t>Таблица 14.4</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6"/>
          </w:p>
        </w:tc>
        <w:tc>
          <w:tcPr>
            <w:tcW w:w="1033" w:type="dxa"/>
            <w:tcBorders/>
          </w:tcPr>
          <w:p>
            <w:pPr>
              <w:pStyle w:val="Normal"/>
              <w:spacing w:before="120" w:after="120"/>
              <w:rPr/>
            </w:pPr>
            <w:r>
              <w:rPr/>
            </w:r>
          </w:p>
        </w:tc>
      </w:tr>
      <w:tr>
        <w:trPr>
          <w:trHeight w:val="20" w:hRule="atLeast"/>
        </w:trPr>
        <w:tc>
          <w:tcPr>
            <w:tcW w:w="18292" w:type="dxa"/>
            <w:gridSpan w:val="15"/>
            <w:tcBorders/>
            <w:shd w:color="auto" w:fill="auto" w:val="clear"/>
            <w:vAlign w:val="bottom"/>
          </w:tcPr>
          <w:tbl>
            <w:tblPr>
              <w:tblW w:w="4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88"/>
              <w:gridCol w:w="2413"/>
              <w:gridCol w:w="1752"/>
              <w:gridCol w:w="953"/>
              <w:gridCol w:w="984"/>
              <w:gridCol w:w="1680"/>
              <w:gridCol w:w="3251"/>
              <w:gridCol w:w="1391"/>
              <w:gridCol w:w="1647"/>
            </w:tblGrid>
            <w:tr>
              <w:trPr>
                <w:trHeight w:val="319" w:hRule="atLeast"/>
              </w:trPr>
              <w:tc>
                <w:tcPr>
                  <w:tcW w:w="388" w:type="dxa"/>
                  <w:tcBorders/>
                  <w:shd w:color="auto" w:fill="auto" w:val="clear"/>
                  <w:vAlign w:val="bottom"/>
                </w:tcPr>
                <w:p>
                  <w:pPr>
                    <w:pStyle w:val="Normal"/>
                    <w:widowControl/>
                    <w:spacing w:before="0" w:after="0"/>
                    <w:ind w:firstLine="322" w:left="-322"/>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84" w:type="dxa"/>
                  <w:tcBorders/>
                  <w:shd w:color="auto" w:fill="auto" w:val="clear"/>
                  <w:vAlign w:val="bottom"/>
                </w:tcPr>
                <w:p>
                  <w:pPr>
                    <w:pStyle w:val="Normal"/>
                    <w:widowControl/>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c>
                <w:tcPr>
                  <w:tcW w:w="1680" w:type="dxa"/>
                  <w:tcBorders/>
                  <w:shd w:color="auto" w:fill="auto" w:val="clear"/>
                  <w:vAlign w:val="bottom"/>
                </w:tcPr>
                <w:p>
                  <w:pPr>
                    <w:pStyle w:val="Normal"/>
                    <w:widowControl/>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c>
                <w:tcPr>
                  <w:tcW w:w="3251" w:type="dxa"/>
                  <w:tcBorders/>
                  <w:shd w:color="auto" w:fill="auto" w:val="clear"/>
                  <w:vAlign w:val="bottom"/>
                </w:tcPr>
                <w:p>
                  <w:pPr>
                    <w:pStyle w:val="Normal"/>
                    <w:widowControl/>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t>Расходы приняты в расчет с учетом НДС</w:t>
                  </w:r>
                </w:p>
              </w:tc>
              <w:tc>
                <w:tcPr>
                  <w:tcW w:w="1391"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47" w:type="dxa"/>
                  <w:tcBorders/>
                  <w:shd w:color="auto" w:fill="auto" w:val="clear"/>
                  <w:vAlign w:val="bottom"/>
                </w:tcPr>
                <w:p>
                  <w:pPr>
                    <w:pStyle w:val="Normal"/>
                    <w:widowControl/>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r>
            <w:tr>
              <w:trPr>
                <w:trHeight w:val="319" w:hRule="atLeast"/>
                <w:cantSplit w:val="true"/>
              </w:trPr>
              <w:tc>
                <w:tcPr>
                  <w:tcW w:w="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4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организаций</w:t>
                  </w:r>
                </w:p>
              </w:tc>
              <w:tc>
                <w:tcPr>
                  <w:tcW w:w="17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906" w:type="dxa"/>
                  <w:gridSpan w:val="6"/>
                  <w:tcBorders>
                    <w:top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2018 год</w:t>
                  </w:r>
                </w:p>
              </w:tc>
            </w:tr>
            <w:tr>
              <w:trPr>
                <w:trHeight w:val="222" w:hRule="atLeast"/>
                <w:cantSplit w:val="true"/>
              </w:trPr>
              <w:tc>
                <w:tcPr>
                  <w:tcW w:w="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53" w:type="dxa"/>
                  <w:vMerge w:val="restart"/>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Величина тарифов</w:t>
                  </w:r>
                </w:p>
              </w:tc>
              <w:tc>
                <w:tcPr>
                  <w:tcW w:w="7969" w:type="dxa"/>
                  <w:gridSpan w:val="4"/>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Структура цен (тарифов)</w:t>
                  </w:r>
                </w:p>
              </w:tc>
            </w:tr>
            <w:tr>
              <w:trPr>
                <w:trHeight w:val="882" w:hRule="atLeast"/>
                <w:cantSplit w:val="true"/>
              </w:trPr>
              <w:tc>
                <w:tcPr>
                  <w:tcW w:w="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53" w:type="dxa"/>
                  <w:vMerge w:val="continue"/>
                  <w:tcBorders>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r>
            <w:tr>
              <w:trPr>
                <w:trHeight w:val="222" w:hRule="atLeast"/>
                <w:cantSplit w:val="true"/>
              </w:trPr>
              <w:tc>
                <w:tcPr>
                  <w:tcW w:w="38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1</w:t>
                  </w:r>
                </w:p>
              </w:tc>
              <w:tc>
                <w:tcPr>
                  <w:tcW w:w="241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2</w:t>
                  </w:r>
                </w:p>
              </w:tc>
              <w:tc>
                <w:tcPr>
                  <w:tcW w:w="17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3</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4</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8</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9</w:t>
                  </w:r>
                </w:p>
              </w:tc>
            </w:tr>
            <w:tr>
              <w:trPr>
                <w:trHeight w:val="225" w:hRule="atLeast"/>
              </w:trPr>
              <w:tc>
                <w:tcPr>
                  <w:tcW w:w="38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2413"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5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1 972,96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107,65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530,95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1 294,49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39,88</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2 054,36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111,91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585,88</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1 336,02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20,54</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3 109,93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984,59</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763,10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1 346,78</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15,46</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2 871,97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812,72</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624,35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1 420,53</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14,36</w:t>
                  </w:r>
                </w:p>
              </w:tc>
            </w:tr>
            <w:tr>
              <w:trPr>
                <w:trHeight w:val="375" w:hRule="atLeast"/>
              </w:trPr>
              <w:tc>
                <w:tcPr>
                  <w:tcW w:w="388"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2413"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На территории ГО "Город Калуга" кроме ведомственных источников</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1 952,55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163,15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437,95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1 315,06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36,38</w:t>
                  </w:r>
                </w:p>
              </w:tc>
            </w:tr>
            <w:tr>
              <w:trPr>
                <w:trHeight w:val="375" w:hRule="atLeast"/>
              </w:trPr>
              <w:tc>
                <w:tcPr>
                  <w:tcW w:w="388"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2 034,54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171,03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452,26</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1 398,09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13,17</w:t>
                  </w:r>
                </w:p>
              </w:tc>
            </w:tr>
            <w:tr>
              <w:trPr>
                <w:trHeight w:val="375" w:hRule="atLeast"/>
              </w:trPr>
              <w:tc>
                <w:tcPr>
                  <w:tcW w:w="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287,00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73,72</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191,32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375" w:hRule="atLeast"/>
              </w:trPr>
              <w:tc>
                <w:tcPr>
                  <w:tcW w:w="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299,06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75,53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201,92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0,71</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«КНИИТМУ» услуги по передаче</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48,95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17,98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51,00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32,54</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2 125,10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2 214,29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1 832,43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1 881,89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1 837,17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1 941,61</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1 733,04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226,59</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272,84</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1 207,75</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25,86</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1 952,72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383,45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280,11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1 245,47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43,70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1 749,60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147,00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318,21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1 257,26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27,12</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1 784,47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203,00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322,26</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1 206,29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2 036,60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2 083,53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1 625,21</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86,58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279,90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1 205,53</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53,20</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1 731,00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169,33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287,36</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1 220,52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2 152,04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298,19</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581,83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1 248,97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23,05</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2 228,93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327,27</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590,17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1 287,98</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25.06.-30.06.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2 131,23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236,67</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448,01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1 410,59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35,96</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2 261,32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478,65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496,30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1 281,30</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5,07</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1 927,02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385,33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309,60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1 189,17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42,92</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1 989,80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387,24</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325,98</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1 225,30</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51,28</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2 216,70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288,68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683,40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1 196,76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47,86</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2 309,80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347,23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707,77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1 233,91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1 758,41</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90,01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291,82</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1 326,97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49,62</w:t>
                  </w:r>
                </w:p>
              </w:tc>
            </w:tr>
            <w:tr>
              <w:trPr>
                <w:trHeight w:val="510"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1 820,20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98,44</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299,59</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1 379,03</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43,13</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2 231,29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224,14</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611,09</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1 376,18</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19,88</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2 277,27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135,81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627,37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1 419,79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94,30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1 669,75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90,27</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277,03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1 251,47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50,97</w:t>
                  </w:r>
                </w:p>
              </w:tc>
            </w:tr>
            <w:tr>
              <w:trPr>
                <w:trHeight w:val="55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1 736,41</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107,90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284,41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1 302,86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41,24</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1 838,10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125,93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395,93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1 281,87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34,37</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1 915,23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124,80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438,82</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1 324,21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27,39</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1 848,65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231,05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230,75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1 324,05</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62,79</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1 926,26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245,38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252,50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1 366,66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61,72</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1 655,73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235,35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334,21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1 073,59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12,58</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1 705,84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227,48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343,25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1 076,92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58,19</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1 688,36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103,69</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324,21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1 202,16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58,30</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1 832,06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212,66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333,25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1 226,65</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59,50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1 647,55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360,10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215,67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1 044,37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29,85</w:t>
                  </w:r>
                </w:p>
              </w:tc>
            </w:tr>
            <w:tr>
              <w:trPr>
                <w:trHeight w:val="690"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1 715,83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375,00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224,59</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1 087,60</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31,09</w:t>
                  </w:r>
                </w:p>
              </w:tc>
            </w:tr>
            <w:tr>
              <w:trPr>
                <w:trHeight w:val="46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1 989,17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2 070,86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2 369,92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1 346,52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53,08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135,05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1 158,69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28,08</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1 397,72</w:t>
                  </w:r>
                </w:p>
              </w:tc>
              <w:tc>
                <w:tcPr>
                  <w:tcW w:w="1680"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55,75</w:t>
                  </w:r>
                </w:p>
              </w:tc>
              <w:tc>
                <w:tcPr>
                  <w:tcW w:w="3251"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140,05</w:t>
                  </w:r>
                </w:p>
              </w:tc>
              <w:tc>
                <w:tcPr>
                  <w:tcW w:w="1391"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1 201,54</w:t>
                  </w:r>
                </w:p>
              </w:tc>
              <w:tc>
                <w:tcPr>
                  <w:tcW w:w="1647"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29,11</w:t>
                  </w:r>
                </w:p>
              </w:tc>
            </w:tr>
            <w:tr>
              <w:trPr>
                <w:trHeight w:val="46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8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1 696,78</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8953" w:type="dxa"/>
                  <w:gridSpan w:val="5"/>
                  <w:vMerge w:val="restart"/>
                  <w:tcBorders>
                    <w:top w:val="single" w:sz="4" w:space="0" w:color="000000"/>
                    <w:left w:val="single" w:sz="4" w:space="0" w:color="000000"/>
                    <w:bottom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Деятельность не осуществляли</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8953" w:type="dxa"/>
                  <w:gridSpan w:val="5"/>
                  <w:vMerge w:val="continue"/>
                  <w:tcBorders>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"Монолит"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1 848,65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622,04</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1 226,61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1 926,02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630,82</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24,66</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1 270,54</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ГБУКО "Калужский областной медицинский центр"</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1 949,03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302,90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258,42</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1 261,86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125,85</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2 011,13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301,24</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297,60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1 271,51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140,78</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220,79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16,48 (-41,53)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92,03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149,32</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230,05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15,59 (-38,91)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94,48</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155,67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1 726,03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138,81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183,91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1 351,18</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52,14</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1 798,33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142,86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188,81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1 400,76</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65,90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2 079,15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243,31</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636,77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1 149,31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49,75</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2 194,04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248,59</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660,33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1 231,57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53,55</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1 472,58</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61,30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218,55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1 171,79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20,94</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1 534,42</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52,63</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240,18</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1 219,11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22,50</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1 969,69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304,52</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416,20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1 215,09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33,88</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2 088,47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360,10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529,13</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1 199,24</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510" w:hRule="atLeast"/>
              </w:trPr>
              <w:tc>
                <w:tcPr>
                  <w:tcW w:w="388"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2 018,64</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510" w:hRule="atLeast"/>
              </w:trPr>
              <w:tc>
                <w:tcPr>
                  <w:tcW w:w="388"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2 139,47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1 533,76</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77,38</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307,25</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1 123,47</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25,67</w:t>
                  </w:r>
                </w:p>
              </w:tc>
            </w:tr>
            <w:tr>
              <w:trPr>
                <w:trHeight w:val="375" w:hRule="atLeast"/>
              </w:trPr>
              <w:tc>
                <w:tcPr>
                  <w:tcW w:w="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1 598,14</w:t>
                  </w:r>
                </w:p>
              </w:tc>
              <w:tc>
                <w:tcPr>
                  <w:tcW w:w="1680"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127,12</w:t>
                  </w:r>
                </w:p>
              </w:tc>
              <w:tc>
                <w:tcPr>
                  <w:tcW w:w="3251"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315,43</w:t>
                  </w:r>
                </w:p>
              </w:tc>
              <w:tc>
                <w:tcPr>
                  <w:tcW w:w="1391"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1 155,59</w:t>
                  </w:r>
                </w:p>
              </w:tc>
              <w:tc>
                <w:tcPr>
                  <w:tcW w:w="1647"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375" w:hRule="atLeast"/>
              </w:trPr>
              <w:tc>
                <w:tcPr>
                  <w:tcW w:w="388"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510" w:hRule="atLeast"/>
              </w:trPr>
              <w:tc>
                <w:tcPr>
                  <w:tcW w:w="388"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1 897,20</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1 545,43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43,56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291,60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1 184,53</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25,74</w:t>
                  </w:r>
                </w:p>
              </w:tc>
            </w:tr>
            <w:tr>
              <w:trPr>
                <w:trHeight w:val="375" w:hRule="atLeast"/>
              </w:trPr>
              <w:tc>
                <w:tcPr>
                  <w:tcW w:w="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1 582,83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44,40</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299,36</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1 223,20</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15,86</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1 832,43</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1 881,89</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1 550,17</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100,25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297,10</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1 134,43</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46,64</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1 642,55</w:t>
                  </w:r>
                </w:p>
              </w:tc>
              <w:tc>
                <w:tcPr>
                  <w:tcW w:w="168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167,85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307,67</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1 181,79</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15,47</w:t>
                  </w:r>
                </w:p>
              </w:tc>
            </w:tr>
            <w:tr>
              <w:trPr>
                <w:trHeight w:val="375" w:hRule="atLeast"/>
              </w:trPr>
              <w:tc>
                <w:tcPr>
                  <w:tcW w:w="38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241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2 230,41</w:t>
                  </w:r>
                </w:p>
              </w:tc>
              <w:tc>
                <w:tcPr>
                  <w:tcW w:w="168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231,96</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647,91</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1 256,34</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94,19</w:t>
                  </w:r>
                </w:p>
              </w:tc>
            </w:tr>
            <w:tr>
              <w:trPr>
                <w:trHeight w:val="375" w:hRule="atLeast"/>
              </w:trPr>
              <w:tc>
                <w:tcPr>
                  <w:tcW w:w="38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3"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2 301,93</w:t>
                  </w:r>
                </w:p>
              </w:tc>
              <w:tc>
                <w:tcPr>
                  <w:tcW w:w="1680"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237,35</w:t>
                  </w:r>
                </w:p>
              </w:tc>
              <w:tc>
                <w:tcPr>
                  <w:tcW w:w="32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665,39</w:t>
                  </w:r>
                </w:p>
              </w:tc>
              <w:tc>
                <w:tcPr>
                  <w:tcW w:w="139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1 295,31</w:t>
                  </w:r>
                </w:p>
              </w:tc>
              <w:tc>
                <w:tcPr>
                  <w:tcW w:w="1647"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103,88</w:t>
                  </w:r>
                </w:p>
              </w:tc>
            </w:tr>
          </w:tbl>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491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42"/>
              <w:gridCol w:w="1951"/>
              <w:gridCol w:w="1776"/>
              <w:gridCol w:w="964"/>
              <w:gridCol w:w="998"/>
              <w:gridCol w:w="1658"/>
              <w:gridCol w:w="1344"/>
              <w:gridCol w:w="2884"/>
              <w:gridCol w:w="1159"/>
              <w:gridCol w:w="1502"/>
              <w:gridCol w:w="234"/>
            </w:tblGrid>
            <w:tr>
              <w:trPr>
                <w:trHeight w:val="20" w:hRule="atLeast"/>
              </w:trPr>
              <w:tc>
                <w:tcPr>
                  <w:tcW w:w="442"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2734" w:type="dxa"/>
                  <w:gridSpan w:val="8"/>
                  <w:tcBorders/>
                  <w:shd w:color="auto" w:fill="auto" w:val="clear"/>
                  <w:vAlign w:val="bottom"/>
                </w:tcPr>
                <w:p>
                  <w:pPr>
                    <w:pStyle w:val="Normal"/>
                    <w:widowControl/>
                    <w:spacing w:before="0" w:after="0"/>
                    <w:ind w:hanging="0"/>
                    <w:jc w:val="left"/>
                    <w:textAlignment w:val="auto"/>
                    <w:rPr>
                      <w:rFonts w:eastAsia="Times New Roman" w:cs="Arial"/>
                      <w:b/>
                      <w:bCs/>
                      <w:spacing w:val="0"/>
                      <w:sz w:val="16"/>
                      <w:szCs w:val="16"/>
                      <w:lang w:eastAsia="ru-RU"/>
                    </w:rPr>
                  </w:pPr>
                  <w:bookmarkStart w:id="217" w:name="_Toc71036195"/>
                  <w:r>
                    <w:rPr>
                      <w:b/>
                      <w:bCs/>
                      <w:sz w:val="18"/>
                      <w:szCs w:val="18"/>
                    </w:rPr>
                    <w:t>Таблица 14.5</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7"/>
                </w:p>
              </w:tc>
              <w:tc>
                <w:tcPr>
                  <w:tcW w:w="1502" w:type="dxa"/>
                  <w:tcBorders/>
                </w:tcPr>
                <w:p>
                  <w:pPr>
                    <w:pStyle w:val="Normal"/>
                    <w:spacing w:before="120" w:after="120"/>
                    <w:rPr/>
                  </w:pPr>
                  <w:r>
                    <w:rPr/>
                  </w:r>
                </w:p>
              </w:tc>
              <w:tc>
                <w:tcPr>
                  <w:tcW w:w="234" w:type="dxa"/>
                  <w:tcBorders/>
                </w:tcPr>
                <w:p>
                  <w:pPr>
                    <w:pStyle w:val="Normal"/>
                    <w:spacing w:before="120" w:after="120"/>
                    <w:rPr/>
                  </w:pPr>
                  <w:r>
                    <w:rPr/>
                  </w:r>
                </w:p>
              </w:tc>
            </w:tr>
            <w:tr>
              <w:trPr>
                <w:trHeight w:val="20" w:hRule="atLeast"/>
              </w:trPr>
              <w:tc>
                <w:tcPr>
                  <w:tcW w:w="442"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98"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58"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4" w:type="dxa"/>
                  <w:tcBorders/>
                  <w:shd w:color="auto" w:fill="auto" w:val="clear"/>
                  <w:vAlign w:val="bottom"/>
                </w:tcPr>
                <w:p>
                  <w:pPr>
                    <w:pStyle w:val="Normal"/>
                    <w:widowControl/>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bottom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п/п</w:t>
                  </w:r>
                </w:p>
              </w:tc>
              <w:tc>
                <w:tcPr>
                  <w:tcW w:w="19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Наименование теплоснабжающей организации</w:t>
                  </w:r>
                </w:p>
              </w:tc>
              <w:tc>
                <w:tcPr>
                  <w:tcW w:w="1776"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10509" w:type="dxa"/>
                  <w:gridSpan w:val="7"/>
                  <w:tcBorders>
                    <w:top w:val="single" w:sz="4" w:space="0" w:color="000000"/>
                    <w:bottom w:val="single" w:sz="4" w:space="0" w:color="000000"/>
                  </w:tcBorders>
                  <w:shd w:color="auto" w:fill="auto" w:val="clear"/>
                  <w:vAlign w:val="bottom"/>
                </w:tcPr>
                <w:p>
                  <w:pPr>
                    <w:pStyle w:val="Normal"/>
                    <w:widowControl/>
                    <w:spacing w:before="0" w:after="0"/>
                    <w:ind w:hanging="0"/>
                    <w:jc w:val="center"/>
                    <w:textAlignment w:val="auto"/>
                    <w:rPr>
                      <w:rFonts w:eastAsia="Times New Roman" w:cs="Arial"/>
                      <w:b/>
                      <w:bCs/>
                      <w:spacing w:val="0"/>
                      <w:sz w:val="20"/>
                      <w:szCs w:val="20"/>
                      <w:lang w:eastAsia="ru-RU"/>
                    </w:rPr>
                  </w:pPr>
                  <w:r>
                    <w:rPr>
                      <w:rFonts w:eastAsia="Times New Roman" w:cs="Arial"/>
                      <w:b/>
                      <w:bCs/>
                      <w:spacing w:val="0"/>
                      <w:sz w:val="20"/>
                      <w:szCs w:val="20"/>
                      <w:lang w:eastAsia="ru-RU"/>
                    </w:rPr>
                    <w:t>2019 год</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bottom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Величина тарифов</w:t>
                  </w:r>
                </w:p>
              </w:tc>
              <w:tc>
                <w:tcPr>
                  <w:tcW w:w="8547" w:type="dxa"/>
                  <w:gridSpan w:val="5"/>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Структура цен (тарифов)</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bottom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расходы, руб./Гкал</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Операционные расходы, руб./Гкал </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1</w:t>
                  </w:r>
                </w:p>
              </w:tc>
              <w:tc>
                <w:tcPr>
                  <w:tcW w:w="1951"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2</w:t>
                  </w:r>
                </w:p>
              </w:tc>
              <w:tc>
                <w:tcPr>
                  <w:tcW w:w="177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98"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658"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44"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884" w:type="dxa"/>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2661" w:type="dxa"/>
                  <w:gridSpan w:val="2"/>
                  <w:tcBorders>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1"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98"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58"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2 089,18</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113,81</w:t>
                  </w:r>
                </w:p>
              </w:tc>
              <w:tc>
                <w:tcPr>
                  <w:tcW w:w="134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595,81</w:t>
                  </w:r>
                </w:p>
              </w:tc>
              <w:tc>
                <w:tcPr>
                  <w:tcW w:w="28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1 358,66</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2 124,60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115,87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606,96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1 386,89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14,87</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2 920,64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826,49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634,93</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1 444,61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2 773,99</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806,37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490,18</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1 465,94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11,50</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b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2 069,03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173,92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459,92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1 421,79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13,39</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2 691,76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313,88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822,08</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1 538,39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17,42</w:t>
                  </w:r>
                </w:p>
              </w:tc>
              <w:tc>
                <w:tcPr>
                  <w:tcW w:w="234" w:type="dxa"/>
                  <w:tcBorders/>
                  <w:vAlign w:val="center"/>
                </w:tcPr>
                <w:p>
                  <w:pPr>
                    <w:pStyle w:val="Normal"/>
                    <w:widowControl/>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2"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на территории МО «Город Калуга», кроме котельных по  адресам:</w:t>
                    <w:br/>
                    <w:t>ул. Баррикад, 181 «а»; ул. Вишневского, 1; Грабцевское шоссе, 115; Грабцевское шоссе, 22 «б»; ул. Молодёжная, 58 (д Лихун); ул. Ипподромная, 37</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2 069,03</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173,92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459,92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1 421,79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13,39</w:t>
                  </w:r>
                </w:p>
              </w:tc>
              <w:tc>
                <w:tcPr>
                  <w:tcW w:w="234" w:type="dxa"/>
                  <w:tcBorders/>
                  <w:vAlign w:val="center"/>
                </w:tcPr>
                <w:p>
                  <w:pPr>
                    <w:pStyle w:val="Normal"/>
                    <w:widowControl/>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2"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2 104,62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191,96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399,06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1 499,97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13,64</w:t>
                  </w:r>
                </w:p>
              </w:tc>
              <w:tc>
                <w:tcPr>
                  <w:tcW w:w="234" w:type="dxa"/>
                  <w:tcBorders/>
                  <w:vAlign w:val="center"/>
                </w:tcPr>
                <w:p>
                  <w:pPr>
                    <w:pStyle w:val="Normal"/>
                    <w:widowControl/>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304,13</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21,25</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76,81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205,34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0,72</w:t>
                  </w:r>
                </w:p>
              </w:tc>
              <w:tc>
                <w:tcPr>
                  <w:tcW w:w="234" w:type="dxa"/>
                  <w:tcBorders/>
                  <w:vAlign w:val="center"/>
                </w:tcPr>
                <w:p>
                  <w:pPr>
                    <w:pStyle w:val="Normal"/>
                    <w:widowControl/>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309,29</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70,36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209,11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51,86</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18,77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33,10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52,74</w:t>
                  </w:r>
                </w:p>
              </w:tc>
              <w:tc>
                <w:tcPr>
                  <w:tcW w:w="1658"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18,97</w:t>
                  </w:r>
                </w:p>
              </w:tc>
              <w:tc>
                <w:tcPr>
                  <w:tcW w:w="134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33,77</w:t>
                  </w:r>
                </w:p>
              </w:tc>
              <w:tc>
                <w:tcPr>
                  <w:tcW w:w="288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2 251,82</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2 287,12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1 974,52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2 006,75</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1 985,82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389,95</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284,86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1 266,58</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44,44</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2 065,25</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288,08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453,81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1 323,36</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1 814,71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206,44</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327,72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1 226,74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53,82</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1 845,31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152,89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401,61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1 248,36</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42,45</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1 760,34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172,20</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292,23</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1 241,21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54,71</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1 821,10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170,27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336,11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1 267,34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47,38</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2 228,93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327,27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590,17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1 287,98</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23,50</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2 266,64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378,49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524,32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1 336,59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2 299,64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486,76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504,71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1 303,01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2 335,18</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346,49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569,62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1 332,24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86,82</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2 023,52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393,80</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331,50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1 246,07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52,15</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2 174,39</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330,22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515,39</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1 268,33</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60,43</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2 309,80</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347,23</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707,77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1 233,91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2 349,05</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465,60</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625,09</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1 237,07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21,30</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1 851,05</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100,11</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304,67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1 402,41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43,86</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1 880,72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100,09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351,13</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1 421,05</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8,46</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2 277,27</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135,81</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627,37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1 419,79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94,30</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2 340,79</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184,18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645,56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1 450,20</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60,84</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1 765,84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109,73</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289,23</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1 324,94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41,94</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1 782,77</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99,23</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296,37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1 341,32</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45,85</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1 947,70</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126,92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446,26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1 346,66</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27,85</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1 977,83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398,36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1 386,70</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46,70</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1 926,26</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245,38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252,50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1 366,66</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61,72</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1 959,00</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251,23</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293,73</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1 387,32</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26,72</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1 705,84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227,48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343,25</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1 076,92</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58,19</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1 734,50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245,49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373,41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1 078,47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37,13</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1 863,11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216,26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1 247,44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60,51</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1 950,47</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222,46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356,77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1 320,63</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50,61</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1 828,81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145,28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192,01</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1 424,50</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67,02</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1 925,12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191,65</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246,39</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1 425,61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61,47</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51"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1 744,91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220,97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277,72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1 244,97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1 795,42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227,37</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285,76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1 281,02</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2 105,96</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2 146,60</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2 410,09</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2 455,88</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1 421,41</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63,11</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155,92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1 219,65</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12,18</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1 445,58</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64,18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158,58</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1 240,42</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12,39</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передачи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1 725,54</w:t>
                  </w:r>
                </w:p>
              </w:tc>
              <w:tc>
                <w:tcPr>
                  <w:tcW w:w="16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1 754,87</w:t>
                  </w:r>
                </w:p>
              </w:tc>
              <w:tc>
                <w:tcPr>
                  <w:tcW w:w="165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1 936,42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389,74</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119,06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1 383,39</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44,23</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1 965,86</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389,89</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119,66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1 411,35</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44,97</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2 231,23</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252,81</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671,52</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1 252,44</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54,46</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2 273,22</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255,62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684,09</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1 277,91</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55,59</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1 560,43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53,52</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244,25</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1 239,78</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22,88</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1 668,43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120,16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238,06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1 269,15</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41,03</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2 123,87</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366,20</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538,10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1 219,57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2 159,94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460,28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407,86</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1 270,75</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21,06</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2 175,73</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2 212,68</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1 625,23</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129,28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320,78</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1 175,18</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1 652,84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152,96</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244,05</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1 255,83</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1 929,36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1 962,13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1 609,66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45,15</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304,44</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1 243,93</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16,13</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1 637,02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73,74</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272,39</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1 263,17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27,71</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4" w:type="dxa"/>
                  <w:tcBorders/>
                </w:tcPr>
                <w:p>
                  <w:pPr>
                    <w:pStyle w:val="Normal"/>
                    <w:spacing w:before="120" w:after="120"/>
                    <w:rPr/>
                  </w:pPr>
                  <w:r>
                    <w:rPr/>
                  </w:r>
                </w:p>
              </w:tc>
            </w:tr>
            <w:tr>
              <w:trPr>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эжнергии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1 670,39</w:t>
                  </w:r>
                </w:p>
              </w:tc>
              <w:tc>
                <w:tcPr>
                  <w:tcW w:w="1658"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170,69</w:t>
                  </w:r>
                </w:p>
              </w:tc>
              <w:tc>
                <w:tcPr>
                  <w:tcW w:w="134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312,89</w:t>
                  </w:r>
                </w:p>
              </w:tc>
              <w:tc>
                <w:tcPr>
                  <w:tcW w:w="288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1 201,82</w:t>
                  </w:r>
                </w:p>
              </w:tc>
              <w:tc>
                <w:tcPr>
                  <w:tcW w:w="2661" w:type="dxa"/>
                  <w:gridSpan w:val="2"/>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15,74</w:t>
                  </w:r>
                </w:p>
              </w:tc>
              <w:tc>
                <w:tcPr>
                  <w:tcW w:w="234" w:type="dxa"/>
                  <w:tcBorders/>
                </w:tcPr>
                <w:p>
                  <w:pPr>
                    <w:pStyle w:val="Normal"/>
                    <w:spacing w:before="120" w:after="120"/>
                    <w:rPr/>
                  </w:pPr>
                  <w:r>
                    <w:rPr/>
                  </w:r>
                </w:p>
              </w:tc>
            </w:tr>
            <w:tr>
              <w:trPr>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1 697,46</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134,62</w:t>
                  </w:r>
                </w:p>
              </w:tc>
              <w:tc>
                <w:tcPr>
                  <w:tcW w:w="134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311,81</w:t>
                  </w:r>
                </w:p>
              </w:tc>
              <w:tc>
                <w:tcPr>
                  <w:tcW w:w="288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1 238,36</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49,87</w:t>
                  </w:r>
                </w:p>
              </w:tc>
              <w:tc>
                <w:tcPr>
                  <w:tcW w:w="234" w:type="dxa"/>
                  <w:tcBorders/>
                </w:tcPr>
                <w:p>
                  <w:pPr>
                    <w:pStyle w:val="Normal"/>
                    <w:spacing w:before="120" w:after="120"/>
                    <w:rPr/>
                  </w:pPr>
                  <w:r>
                    <w:rPr/>
                  </w:r>
                </w:p>
              </w:tc>
            </w:tr>
            <w:tr>
              <w:trPr>
                <w:trHeight w:val="20" w:hRule="atLeast"/>
              </w:trPr>
              <w:tc>
                <w:tcPr>
                  <w:tcW w:w="44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5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2 340,95</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241,38</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676,67</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1 317,26</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105,64</w:t>
                  </w:r>
                </w:p>
              </w:tc>
              <w:tc>
                <w:tcPr>
                  <w:tcW w:w="234" w:type="dxa"/>
                  <w:tcBorders/>
                </w:tcPr>
                <w:p>
                  <w:pPr>
                    <w:pStyle w:val="Normal"/>
                    <w:spacing w:before="120" w:after="120"/>
                    <w:rPr/>
                  </w:pPr>
                  <w:r>
                    <w:rPr/>
                  </w:r>
                </w:p>
              </w:tc>
            </w:tr>
            <w:tr>
              <w:trPr>
                <w:trHeight w:val="20" w:hRule="atLeast"/>
              </w:trPr>
              <w:tc>
                <w:tcPr>
                  <w:tcW w:w="44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2 231,54</w:t>
                  </w:r>
                </w:p>
              </w:tc>
              <w:tc>
                <w:tcPr>
                  <w:tcW w:w="1658"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206,13</w:t>
                  </w:r>
                </w:p>
              </w:tc>
              <w:tc>
                <w:tcPr>
                  <w:tcW w:w="134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696,30</w:t>
                  </w:r>
                </w:p>
              </w:tc>
              <w:tc>
                <w:tcPr>
                  <w:tcW w:w="288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1 214,17</w:t>
                  </w:r>
                </w:p>
              </w:tc>
              <w:tc>
                <w:tcPr>
                  <w:tcW w:w="266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114,95</w:t>
                  </w:r>
                </w:p>
              </w:tc>
              <w:tc>
                <w:tcPr>
                  <w:tcW w:w="234" w:type="dxa"/>
                  <w:tcBorders/>
                </w:tcPr>
                <w:p>
                  <w:pPr>
                    <w:pStyle w:val="Normal"/>
                    <w:spacing w:before="120" w:after="120"/>
                    <w:rPr/>
                  </w:pPr>
                  <w:r>
                    <w:rPr/>
                  </w:r>
                </w:p>
              </w:tc>
            </w:tr>
          </w:tbl>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4809"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5"/>
              <w:gridCol w:w="1949"/>
              <w:gridCol w:w="1777"/>
              <w:gridCol w:w="964"/>
              <w:gridCol w:w="949"/>
              <w:gridCol w:w="1702"/>
              <w:gridCol w:w="1389"/>
              <w:gridCol w:w="2314"/>
              <w:gridCol w:w="3359"/>
              <w:gridCol w:w="9"/>
            </w:tblGrid>
            <w:tr>
              <w:trPr>
                <w:trHeight w:val="20" w:hRule="atLeast"/>
              </w:trPr>
              <w:tc>
                <w:tcPr>
                  <w:tcW w:w="395"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4403" w:type="dxa"/>
                  <w:gridSpan w:val="8"/>
                  <w:tcBorders/>
                  <w:shd w:color="auto" w:fill="auto" w:val="clear"/>
                  <w:vAlign w:val="bottom"/>
                </w:tcPr>
                <w:p>
                  <w:pPr>
                    <w:pStyle w:val="Normal"/>
                    <w:widowControl/>
                    <w:spacing w:before="0" w:after="0"/>
                    <w:ind w:hanging="0"/>
                    <w:jc w:val="left"/>
                    <w:textAlignment w:val="auto"/>
                    <w:rPr>
                      <w:rFonts w:eastAsia="Times New Roman" w:cs="Arial"/>
                      <w:b/>
                      <w:bCs/>
                      <w:spacing w:val="0"/>
                      <w:sz w:val="16"/>
                      <w:szCs w:val="16"/>
                      <w:lang w:eastAsia="ru-RU"/>
                    </w:rPr>
                  </w:pPr>
                  <w:bookmarkStart w:id="218" w:name="_Toc71036196"/>
                  <w:r>
                    <w:rPr>
                      <w:b/>
                      <w:bCs/>
                      <w:sz w:val="18"/>
                      <w:szCs w:val="18"/>
                    </w:rPr>
                    <w:t>Таблица 14.6</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8"/>
                </w:p>
              </w:tc>
              <w:tc>
                <w:tcPr>
                  <w:tcW w:w="9" w:type="dxa"/>
                  <w:tcBorders/>
                </w:tcPr>
                <w:p>
                  <w:pPr>
                    <w:pStyle w:val="Normal"/>
                    <w:spacing w:before="120" w:after="120"/>
                    <w:rPr/>
                  </w:pPr>
                  <w:r>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22" w:type="dxa"/>
                  <w:gridSpan w:val="6"/>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2020 год</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773"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2 124,60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115,87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606,96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1 386,89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14,87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2 168,42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125,99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614,83</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1 418,79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8,86</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2 773,99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806,37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490,18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1 465,94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2 666,68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718,21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1 471,73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11,05</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b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2 691,76</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313,88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822,08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1 538,39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17,42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2 842,32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367,70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870,08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1 586,32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18,23</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2 104,62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191,96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399,06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1 499,97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13,64</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2 180,39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211,61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406,92</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1 535,60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26,27</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309,29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70,36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209,11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46,44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75,61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216,88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52,74</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18,97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33,77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34,44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86,37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2 287,12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2 369,45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2 006,75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2 119,13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2 065,25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288,08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453,81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1 323,36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2 180,89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316,02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506,85</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1 358,02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1 845,31</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152,89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401,61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42,45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1 893,25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136,31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409,52</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1 282,15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65,27</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2 154,60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2 232,17</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1 821,10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170,27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336,11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1 267,34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47,38</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1 916,90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160,09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411,03</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1 309,93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35,85</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2 266,64</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378,49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524,32</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1 336,59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2 268,51</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328,92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534,54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1 374,37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30,68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2 335,18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346,49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569,62</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1 332,24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86,82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2 395,69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347,92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580,77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1 355,53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111,49</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2 174,39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330,22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515,39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1 268,33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60,43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2 179,10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263,06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551,78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1 302,89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61,37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2 349,05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625,09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1 237,07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21,30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2 270,68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348,09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637,40</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1 263,26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21,94</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1 880,72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351,13</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1 421,05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8,46</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1 929,56</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100,21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380,21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1 449,14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2 340,79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184,18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645,56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1 450,20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60,84</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2 466,65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328,95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658,28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1 479,42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1 782,77</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99,23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296,37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1 341,32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45,85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1 828,93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110,83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348,94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1 369,15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1 977,83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398,36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1 386,70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46,70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2 030,53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182,62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395,28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1 415,27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1 959,00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251,23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293,73</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1 387,32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26,72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2 009,93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276,28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299,51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1 406,63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27,51</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1 734,50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373,41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1 078,47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37,13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1 779,68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238,65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380,77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1 115,49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44,77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1 950,47</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222,46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356,77</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1 320,63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50,61</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2 084,12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244,39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417,08</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1 367,51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55,14</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1 925,12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191,65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246,39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1 425,61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1 928,50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180,32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263,29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1 406,93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77,96</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1 795,42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260,26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278,84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1 229,26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27,17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1 835,35</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266,05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285,56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1 256,60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2 146,60</w:t>
                  </w:r>
                </w:p>
              </w:tc>
              <w:tc>
                <w:tcPr>
                  <w:tcW w:w="17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2 205,37</w:t>
                  </w:r>
                </w:p>
              </w:tc>
              <w:tc>
                <w:tcPr>
                  <w:tcW w:w="170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2 455,88</w:t>
                  </w:r>
                </w:p>
              </w:tc>
              <w:tc>
                <w:tcPr>
                  <w:tcW w:w="17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2 544,29</w:t>
                  </w:r>
                </w:p>
              </w:tc>
              <w:tc>
                <w:tcPr>
                  <w:tcW w:w="170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1 445,28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52,53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154,60</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1 247,45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1 514,21</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54,99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161,84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1 305,85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1 754,87</w:t>
                  </w:r>
                </w:p>
              </w:tc>
              <w:tc>
                <w:tcPr>
                  <w:tcW w:w="17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1 853,12</w:t>
                  </w:r>
                </w:p>
              </w:tc>
              <w:tc>
                <w:tcPr>
                  <w:tcW w:w="170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1 965,86</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389,89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119,66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1 411,35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2 000,29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392,53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123,24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1 428,85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55,68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2 273,22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255,62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684,09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1 277,91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55,59</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2 298,20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212,67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697,56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1 308,96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79,01</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2 238,68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658,68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212,44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1 314,64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2 281,60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658,68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212,44</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1 357,52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1 668,43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120,16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238,06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1 269,15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41,03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1 730,58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150,42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242,75</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1 295,12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42,29</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2 159,94</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460,28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407,86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1 270,75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21,06</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2 129,99</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307,94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415,90</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1 307,87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98,28</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2 212,68</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2 269,97</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1 652,84</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152,96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244,05</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1 255,83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1 733,10</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157,19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248,86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1 281,94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45,11</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1 962,13</w:t>
                  </w:r>
                </w:p>
              </w:tc>
              <w:tc>
                <w:tcPr>
                  <w:tcW w:w="17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2 072,02</w:t>
                  </w:r>
                </w:p>
              </w:tc>
              <w:tc>
                <w:tcPr>
                  <w:tcW w:w="170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1 637,02</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272,39</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1 263,17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27,71</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1 677,46</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80,40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277,76</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1 290,75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28,54</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7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1 697,46</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134,62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311,81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1 238,36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49,87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1 780,21</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319,55</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1 263,44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41,52</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2 231,54</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206,13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696,30</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1 214,17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2 289,13</w:t>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194,07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723,51</w:t>
                  </w:r>
                </w:p>
              </w:tc>
              <w:tc>
                <w:tcPr>
                  <w:tcW w:w="23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1 255,08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116,47</w:t>
                  </w:r>
                </w:p>
              </w:tc>
            </w:tr>
          </w:tbl>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80" w:type="dxa"/>
            <w:tcBorders/>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2216" w:type="dxa"/>
            <w:gridSpan w:val="10"/>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95" w:type="dxa"/>
            <w:tcBorders/>
          </w:tcPr>
          <w:p>
            <w:pPr>
              <w:pStyle w:val="Normal"/>
              <w:spacing w:before="120" w:after="120"/>
              <w:rPr/>
            </w:pPr>
            <w:r>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4802" w:type="dxa"/>
            <w:gridSpan w:val="10"/>
            <w:tcBorders/>
            <w:shd w:color="auto" w:fill="auto" w:val="clear"/>
            <w:vAlign w:val="bottom"/>
          </w:tcPr>
          <w:p>
            <w:pPr>
              <w:pStyle w:val="Normal"/>
              <w:widowControl/>
              <w:spacing w:before="0" w:after="0"/>
              <w:ind w:hanging="0"/>
              <w:jc w:val="left"/>
              <w:textAlignment w:val="auto"/>
              <w:rPr>
                <w:b/>
                <w:bCs/>
                <w:sz w:val="18"/>
                <w:szCs w:val="18"/>
              </w:rPr>
            </w:pPr>
            <w:r>
              <w:rPr>
                <w:b/>
                <w:bCs/>
                <w:sz w:val="18"/>
                <w:szCs w:val="18"/>
              </w:rPr>
            </w:r>
            <w:bookmarkStart w:id="219" w:name="_Toc71036197"/>
            <w:bookmarkStart w:id="220" w:name="_Toc71036197"/>
          </w:p>
          <w:p>
            <w:pPr>
              <w:pStyle w:val="Normal"/>
              <w:widowControl/>
              <w:spacing w:before="0" w:after="0"/>
              <w:ind w:hanging="0"/>
              <w:jc w:val="left"/>
              <w:textAlignment w:val="auto"/>
              <w:rPr>
                <w:rFonts w:eastAsia="Times New Roman" w:cs="Arial"/>
                <w:b/>
                <w:bCs/>
                <w:spacing w:val="0"/>
                <w:sz w:val="16"/>
                <w:szCs w:val="16"/>
                <w:lang w:eastAsia="ru-RU"/>
              </w:rPr>
            </w:pPr>
            <w:r>
              <w:rPr>
                <w:b/>
                <w:bCs/>
                <w:sz w:val="18"/>
                <w:szCs w:val="18"/>
              </w:rPr>
              <w:t>Таблица 14.7</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20"/>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49"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shd w:color="auto" w:fill="auto" w:val="clear"/>
            <w:vAlign w:val="bottom"/>
          </w:tcPr>
          <w:p>
            <w:pPr>
              <w:pStyle w:val="Normal"/>
              <w:widowControl/>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57"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906" w:type="dxa"/>
            <w:gridSpan w:val="6"/>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spacing w:val="0"/>
                <w:sz w:val="16"/>
                <w:szCs w:val="16"/>
                <w:lang w:eastAsia="ru-RU"/>
              </w:rPr>
            </w:pPr>
            <w:r>
              <w:rPr>
                <w:rFonts w:eastAsia="Times New Roman" w:cs="Arial"/>
                <w:b/>
                <w:spacing w:val="0"/>
                <w:sz w:val="16"/>
                <w:szCs w:val="16"/>
                <w:lang w:eastAsia="ru-RU"/>
              </w:rPr>
              <w:t>2021 год</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57"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9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957"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57"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9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57" w:hRule="atLeast"/>
        </w:trPr>
        <w:tc>
          <w:tcPr>
            <w:tcW w:w="395" w:type="dxa"/>
            <w:gridSpan w:val="3"/>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77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bottom w:val="single" w:sz="4" w:space="0" w:color="000000"/>
              <w:right w:val="single" w:sz="4" w:space="0" w:color="000000"/>
            </w:tcBorders>
            <w:shd w:color="auto" w:fill="auto" w:val="clear"/>
            <w:vAlign w:val="center"/>
          </w:tcPr>
          <w:p>
            <w:pPr>
              <w:pStyle w:val="Normal"/>
              <w:widowControl/>
              <w:spacing w:before="0" w:after="0"/>
              <w:ind w:hanging="0"/>
              <w:jc w:val="left"/>
              <w:textAlignment w:val="auto"/>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6"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49"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shd w:color="auto" w:fill="auto" w:val="clear"/>
            <w:vAlign w:val="bottom"/>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1490,91</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20,66</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b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2 842,32</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1 635,29</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24,69</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2 180,39</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1 587,60</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51,91</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338,92</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224,28</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139,98</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88,96</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«Азимут» (бывший АО «КЗТА»)</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2 119,13</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2 052,36</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2 134,45</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1 561,48</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6"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1399,45</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1419,75</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1115,5</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42,78</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1155,02</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45,24</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130474,49</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1262,16</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90645,09</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875,13</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1058,08</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239,72</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551" w:type="dxa"/>
            <w:gridSpan w:val="2"/>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1111,79</w:t>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24,62/22,86</w:t>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w:t>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spacing w:before="120" w:after="120"/>
              <w:rPr/>
            </w:pPr>
            <w:r>
              <w:rPr/>
            </w:r>
          </w:p>
        </w:tc>
        <w:tc>
          <w:tcPr>
            <w:tcW w:w="2062" w:type="dxa"/>
            <w:tcBorders/>
          </w:tcPr>
          <w:p>
            <w:pPr>
              <w:pStyle w:val="Normal"/>
              <w:spacing w:before="120" w:after="120"/>
              <w:rPr/>
            </w:pPr>
            <w:r>
              <w:rPr/>
            </w:r>
          </w:p>
        </w:tc>
        <w:tc>
          <w:tcPr>
            <w:tcW w:w="1033" w:type="dxa"/>
            <w:tcBorders/>
          </w:tcPr>
          <w:p>
            <w:pPr>
              <w:pStyle w:val="Normal"/>
              <w:spacing w:before="120" w:after="120"/>
              <w:rPr/>
            </w:pPr>
            <w:r>
              <w:rPr/>
            </w:r>
          </w:p>
        </w:tc>
      </w:tr>
    </w:tbl>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505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05"/>
        <w:gridCol w:w="1896"/>
        <w:gridCol w:w="1726"/>
        <w:gridCol w:w="937"/>
        <w:gridCol w:w="921"/>
        <w:gridCol w:w="1655"/>
        <w:gridCol w:w="1351"/>
        <w:gridCol w:w="2249"/>
        <w:gridCol w:w="3315"/>
        <w:gridCol w:w="199"/>
      </w:tblGrid>
      <w:tr>
        <w:trPr>
          <w:trHeight w:val="20" w:hRule="atLeast"/>
        </w:trPr>
        <w:tc>
          <w:tcPr>
            <w:tcW w:w="805"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249"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14.8</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trPr>
          <w:trHeight w:val="20" w:hRule="atLeast"/>
        </w:trPr>
        <w:tc>
          <w:tcPr>
            <w:tcW w:w="8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89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2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3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491" w:type="dxa"/>
            <w:gridSpan w:val="5"/>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color w:val="000000"/>
                <w:spacing w:val="0"/>
                <w:sz w:val="16"/>
                <w:szCs w:val="16"/>
                <w:lang w:eastAsia="ru-RU"/>
              </w:rPr>
            </w:pPr>
            <w:r>
              <w:rPr>
                <w:rFonts w:eastAsia="Times New Roman" w:cs="Arial"/>
                <w:b/>
                <w:color w:val="000000"/>
                <w:spacing w:val="0"/>
                <w:sz w:val="16"/>
                <w:szCs w:val="16"/>
                <w:lang w:eastAsia="ru-RU"/>
              </w:rPr>
              <w:t>2022 год</w:t>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72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3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21" w:type="dxa"/>
            <w:tcBorders>
              <w:bottom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570" w:type="dxa"/>
            <w:gridSpan w:val="4"/>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t>Структура цен (тарифов)</w:t>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72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3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89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2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21"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655"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51"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249"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315"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896" w:type="dxa"/>
            <w:tcBorders>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2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21"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655"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51"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249"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315"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20,66</w:t>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b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24,69</w:t>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w:t>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restart"/>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51,91</w:t>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83,50</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2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11,49</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«Азимут» (бывший АО «КЗТА»)</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2 134,45</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19,22</w:t>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26"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2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42,78</w:t>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45,24</w:t>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1262,16</w:t>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875,13</w:t>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65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239,72</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655" w:type="dxa"/>
            <w:tcBorders>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51" w:type="dxa"/>
            <w:tcBorders>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249" w:type="dxa"/>
            <w:tcBorders>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315" w:type="dxa"/>
            <w:tcBorders>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99" w:type="dxa"/>
            <w:tcBorders/>
          </w:tcPr>
          <w:p>
            <w:pPr>
              <w:pStyle w:val="Normal"/>
              <w:spacing w:before="120" w:after="120"/>
              <w:rPr/>
            </w:pPr>
            <w:r>
              <w:rPr/>
            </w:r>
          </w:p>
        </w:tc>
      </w:tr>
      <w:tr>
        <w:trPr>
          <w:trHeight w:val="20" w:hRule="atLeast"/>
        </w:trPr>
        <w:tc>
          <w:tcPr>
            <w:tcW w:w="8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655"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24,62/22,86</w:t>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51"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249"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31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89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26"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r>
        <w:trPr>
          <w:trHeight w:val="20" w:hRule="atLeast"/>
        </w:trPr>
        <w:tc>
          <w:tcPr>
            <w:tcW w:w="805"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9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26"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3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2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5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5"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9" w:type="dxa"/>
            <w:tcBorders/>
          </w:tcPr>
          <w:p>
            <w:pPr>
              <w:pStyle w:val="Normal"/>
              <w:spacing w:before="120" w:after="120"/>
              <w:rPr/>
            </w:pPr>
            <w:r>
              <w:rPr/>
            </w:r>
          </w:p>
        </w:tc>
      </w:tr>
    </w:tbl>
    <w:p>
      <w:pPr>
        <w:pStyle w:val="Normal"/>
        <w:spacing w:lineRule="auto" w:line="360" w:before="120" w:after="0"/>
        <w:ind w:firstLine="709" w:right="-1"/>
        <w:rPr>
          <w:b/>
          <w:bCs/>
          <w:sz w:val="20"/>
          <w:szCs w:val="20"/>
        </w:rPr>
      </w:pPr>
      <w:r>
        <w:rPr>
          <w:b/>
          <w:bCs/>
          <w:sz w:val="20"/>
          <w:szCs w:val="20"/>
        </w:rPr>
      </w:r>
    </w:p>
    <w:p>
      <w:pPr>
        <w:pStyle w:val="Normal"/>
        <w:spacing w:lineRule="auto" w:line="360" w:before="120" w:after="0"/>
        <w:ind w:firstLine="709" w:right="-1"/>
        <w:rPr>
          <w:b/>
          <w:bCs/>
          <w:sz w:val="20"/>
          <w:szCs w:val="20"/>
        </w:rPr>
      </w:pPr>
      <w:r>
        <w:rPr>
          <w:b/>
          <w:bCs/>
          <w:sz w:val="20"/>
          <w:szCs w:val="20"/>
        </w:rPr>
      </w:r>
    </w:p>
    <w:p>
      <w:pPr>
        <w:pStyle w:val="Normal"/>
        <w:spacing w:lineRule="auto" w:line="360" w:before="120" w:after="0"/>
        <w:ind w:firstLine="709" w:right="-1"/>
        <w:rPr>
          <w:b/>
          <w:bCs/>
          <w:sz w:val="20"/>
          <w:szCs w:val="20"/>
        </w:rPr>
      </w:pPr>
      <w:r>
        <w:rPr>
          <w:b/>
          <w:bCs/>
          <w:sz w:val="20"/>
          <w:szCs w:val="20"/>
        </w:rPr>
      </w:r>
    </w:p>
    <w:p>
      <w:pPr>
        <w:pStyle w:val="Normal"/>
        <w:spacing w:lineRule="auto" w:line="360" w:before="120" w:after="0"/>
        <w:ind w:firstLine="709" w:right="-1"/>
        <w:rPr>
          <w:b/>
          <w:bCs/>
          <w:sz w:val="20"/>
          <w:szCs w:val="20"/>
        </w:rPr>
      </w:pPr>
      <w:r>
        <w:rPr>
          <w:b/>
          <w:bCs/>
          <w:sz w:val="20"/>
          <w:szCs w:val="20"/>
        </w:rPr>
      </w:r>
    </w:p>
    <w:p>
      <w:pPr>
        <w:pStyle w:val="Normal"/>
        <w:spacing w:lineRule="auto" w:line="360" w:before="120" w:after="0"/>
        <w:ind w:firstLine="709" w:right="-1"/>
        <w:rPr>
          <w:b/>
          <w:bCs/>
          <w:sz w:val="20"/>
          <w:szCs w:val="20"/>
        </w:rPr>
      </w:pPr>
      <w:r>
        <w:rPr>
          <w:b/>
          <w:bCs/>
          <w:sz w:val="20"/>
          <w:szCs w:val="20"/>
        </w:rPr>
      </w:r>
    </w:p>
    <w:tbl>
      <w:tblPr>
        <w:tblW w:w="1506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04"/>
        <w:gridCol w:w="1812"/>
        <w:gridCol w:w="1634"/>
        <w:gridCol w:w="1313"/>
        <w:gridCol w:w="923"/>
        <w:gridCol w:w="1654"/>
        <w:gridCol w:w="1351"/>
        <w:gridCol w:w="2249"/>
        <w:gridCol w:w="3314"/>
        <w:gridCol w:w="5"/>
      </w:tblGrid>
      <w:tr>
        <w:trPr>
          <w:trHeight w:val="330" w:hRule="atLeast"/>
        </w:trPr>
        <w:tc>
          <w:tcPr>
            <w:tcW w:w="804"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255"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14.9</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trPr>
          <w:trHeight w:val="222" w:hRule="atLeast"/>
        </w:trPr>
        <w:tc>
          <w:tcPr>
            <w:tcW w:w="80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812"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6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131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491" w:type="dxa"/>
            <w:gridSpan w:val="5"/>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spacing w:val="0"/>
                <w:sz w:val="16"/>
                <w:szCs w:val="16"/>
                <w:lang w:eastAsia="ru-RU"/>
              </w:rPr>
            </w:pPr>
            <w:r>
              <w:rPr>
                <w:rFonts w:eastAsia="Times New Roman" w:cs="Arial"/>
                <w:b/>
                <w:spacing w:val="0"/>
                <w:sz w:val="16"/>
                <w:szCs w:val="16"/>
                <w:lang w:eastAsia="ru-RU"/>
              </w:rPr>
              <w:t>2023 год</w:t>
            </w:r>
          </w:p>
        </w:tc>
        <w:tc>
          <w:tcPr>
            <w:tcW w:w="5" w:type="dxa"/>
            <w:tcBorders/>
          </w:tcPr>
          <w:p>
            <w:pPr>
              <w:pStyle w:val="Normal"/>
              <w:spacing w:before="120" w:after="120"/>
              <w:rPr/>
            </w:pPr>
            <w:r>
              <w:rPr/>
            </w:r>
          </w:p>
        </w:tc>
      </w:tr>
      <w:tr>
        <w:trPr>
          <w:trHeight w:val="435" w:hRule="atLeast"/>
        </w:trPr>
        <w:tc>
          <w:tcPr>
            <w:tcW w:w="8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6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23" w:type="dxa"/>
            <w:tcBorders>
              <w:bottom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568" w:type="dxa"/>
            <w:gridSpan w:val="4"/>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5" w:type="dxa"/>
            <w:tcBorders/>
          </w:tcPr>
          <w:p>
            <w:pPr>
              <w:pStyle w:val="Normal"/>
              <w:spacing w:before="120" w:after="120"/>
              <w:rPr/>
            </w:pPr>
            <w:r>
              <w:rPr/>
            </w:r>
          </w:p>
        </w:tc>
      </w:tr>
      <w:tr>
        <w:trPr>
          <w:trHeight w:val="882" w:hRule="atLeast"/>
        </w:trPr>
        <w:tc>
          <w:tcPr>
            <w:tcW w:w="8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6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92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5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31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5" w:type="dxa"/>
            <w:tcBorders/>
          </w:tcPr>
          <w:p>
            <w:pPr>
              <w:pStyle w:val="Normal"/>
              <w:spacing w:before="120" w:after="120"/>
              <w:rPr/>
            </w:pPr>
            <w:r>
              <w:rPr/>
            </w:r>
          </w:p>
        </w:tc>
      </w:tr>
      <w:tr>
        <w:trPr>
          <w:trHeight w:val="222" w:hRule="atLeast"/>
        </w:trPr>
        <w:tc>
          <w:tcPr>
            <w:tcW w:w="80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812"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63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131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2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654"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51"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249"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314"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5" w:type="dxa"/>
            <w:tcBorders/>
          </w:tcPr>
          <w:p>
            <w:pPr>
              <w:pStyle w:val="Normal"/>
              <w:spacing w:before="120" w:after="120"/>
              <w:rPr/>
            </w:pPr>
            <w:r>
              <w:rPr/>
            </w:r>
          </w:p>
        </w:tc>
      </w:tr>
      <w:tr>
        <w:trPr>
          <w:trHeight w:val="225" w:hRule="atLeast"/>
        </w:trPr>
        <w:tc>
          <w:tcPr>
            <w:tcW w:w="80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812" w:type="dxa"/>
            <w:tcBorders>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63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31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23" w:type="dxa"/>
            <w:tcBorders>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654"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51"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249"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314"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5" w:type="dxa"/>
            <w:tcBorders/>
          </w:tcPr>
          <w:p>
            <w:pPr>
              <w:pStyle w:val="Normal"/>
              <w:spacing w:before="120" w:after="120"/>
              <w:rPr/>
            </w:pPr>
            <w:r>
              <w:rPr/>
            </w:r>
          </w:p>
        </w:tc>
      </w:tr>
      <w:tr>
        <w:trPr>
          <w:trHeight w:val="1830" w:hRule="atLeast"/>
        </w:trPr>
        <w:tc>
          <w:tcPr>
            <w:tcW w:w="804"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12"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63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
        </w:tc>
        <w:tc>
          <w:tcPr>
            <w:tcW w:w="1313" w:type="dxa"/>
            <w:tcBorders>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23" w:type="dxa"/>
            <w:tcBorders>
              <w:top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3409,36</w:t>
            </w:r>
          </w:p>
        </w:tc>
        <w:tc>
          <w:tcPr>
            <w:tcW w:w="1654" w:type="dxa"/>
            <w:tcBorders>
              <w:top w:val="single" w:sz="4" w:space="0" w:color="000000"/>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534,444</w:t>
            </w:r>
          </w:p>
        </w:tc>
        <w:tc>
          <w:tcPr>
            <w:tcW w:w="1351" w:type="dxa"/>
            <w:tcBorders>
              <w:top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772,710</w:t>
            </w:r>
          </w:p>
        </w:tc>
        <w:tc>
          <w:tcPr>
            <w:tcW w:w="2249" w:type="dxa"/>
            <w:tcBorders>
              <w:top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1 534,59</w:t>
            </w:r>
          </w:p>
        </w:tc>
        <w:tc>
          <w:tcPr>
            <w:tcW w:w="3314" w:type="dxa"/>
            <w:tcBorders>
              <w:top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w:t>
            </w:r>
          </w:p>
        </w:tc>
        <w:tc>
          <w:tcPr>
            <w:tcW w:w="5" w:type="dxa"/>
            <w:tcBorders/>
          </w:tcPr>
          <w:p>
            <w:pPr>
              <w:pStyle w:val="Normal"/>
              <w:spacing w:before="120" w:after="120"/>
              <w:rPr/>
            </w:pPr>
            <w:r>
              <w:rPr/>
            </w:r>
          </w:p>
        </w:tc>
      </w:tr>
      <w:tr>
        <w:trPr>
          <w:trHeight w:val="2382" w:hRule="atLeast"/>
        </w:trPr>
        <w:tc>
          <w:tcPr>
            <w:tcW w:w="80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34"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1313"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01.01.-31.23.</w:t>
            </w:r>
          </w:p>
        </w:tc>
        <w:tc>
          <w:tcPr>
            <w:tcW w:w="923"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2638,80</w:t>
            </w:r>
          </w:p>
        </w:tc>
        <w:tc>
          <w:tcPr>
            <w:tcW w:w="1654"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209,329</w:t>
            </w:r>
          </w:p>
        </w:tc>
        <w:tc>
          <w:tcPr>
            <w:tcW w:w="1351"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381,367</w:t>
            </w:r>
          </w:p>
        </w:tc>
        <w:tc>
          <w:tcPr>
            <w:tcW w:w="2249"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1 501,904</w:t>
            </w:r>
          </w:p>
        </w:tc>
        <w:tc>
          <w:tcPr>
            <w:tcW w:w="3314"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106,400</w:t>
            </w:r>
          </w:p>
        </w:tc>
        <w:tc>
          <w:tcPr>
            <w:tcW w:w="5" w:type="dxa"/>
            <w:tcBorders/>
          </w:tcPr>
          <w:p>
            <w:pPr>
              <w:pStyle w:val="Normal"/>
              <w:spacing w:before="120" w:after="120"/>
              <w:rPr/>
            </w:pPr>
            <w:r>
              <w:rPr/>
            </w:r>
          </w:p>
        </w:tc>
      </w:tr>
      <w:tr>
        <w:trPr>
          <w:trHeight w:val="760" w:hRule="atLeast"/>
        </w:trPr>
        <w:tc>
          <w:tcPr>
            <w:tcW w:w="804"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2 </w:t>
            </w:r>
          </w:p>
        </w:tc>
        <w:tc>
          <w:tcPr>
            <w:tcW w:w="1812"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634"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131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2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393,80</w:t>
            </w:r>
          </w:p>
        </w:tc>
        <w:tc>
          <w:tcPr>
            <w:tcW w:w="1654"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36,299</w:t>
            </w:r>
          </w:p>
        </w:tc>
        <w:tc>
          <w:tcPr>
            <w:tcW w:w="1351"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81,284</w:t>
            </w:r>
          </w:p>
        </w:tc>
        <w:tc>
          <w:tcPr>
            <w:tcW w:w="2249"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214,544</w:t>
            </w:r>
          </w:p>
        </w:tc>
        <w:tc>
          <w:tcPr>
            <w:tcW w:w="3314"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-3,957</w:t>
            </w:r>
          </w:p>
        </w:tc>
        <w:tc>
          <w:tcPr>
            <w:tcW w:w="5" w:type="dxa"/>
            <w:tcBorders/>
          </w:tcPr>
          <w:p>
            <w:pPr>
              <w:pStyle w:val="Normal"/>
              <w:spacing w:before="120" w:after="120"/>
              <w:rPr/>
            </w:pPr>
            <w:r>
              <w:rPr/>
            </w:r>
          </w:p>
        </w:tc>
      </w:tr>
      <w:tr>
        <w:trPr>
          <w:trHeight w:val="750" w:hRule="atLeast"/>
        </w:trPr>
        <w:tc>
          <w:tcPr>
            <w:tcW w:w="804"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3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131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w:t>
            </w:r>
          </w:p>
        </w:tc>
        <w:tc>
          <w:tcPr>
            <w:tcW w:w="92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w:t>
            </w:r>
          </w:p>
        </w:tc>
        <w:tc>
          <w:tcPr>
            <w:tcW w:w="8568" w:type="dxa"/>
            <w:gridSpan w:val="4"/>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регулирование прекращено с 01 сентября 2022г.                                                                                                           (Приказ министерства конкурентной политики Калужской области от 23 мая 2022г. №48-РК)</w:t>
            </w:r>
          </w:p>
        </w:tc>
        <w:tc>
          <w:tcPr>
            <w:tcW w:w="5" w:type="dxa"/>
            <w:tcBorders/>
          </w:tcPr>
          <w:p>
            <w:pPr>
              <w:pStyle w:val="Normal"/>
              <w:spacing w:before="120" w:after="120"/>
              <w:rPr/>
            </w:pPr>
            <w:r>
              <w:rPr/>
            </w:r>
          </w:p>
        </w:tc>
      </w:tr>
      <w:tr>
        <w:trPr>
          <w:trHeight w:val="750" w:hRule="atLeast"/>
        </w:trPr>
        <w:tc>
          <w:tcPr>
            <w:tcW w:w="804"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3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1313"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23" w:type="dxa"/>
            <w:tcBorders>
              <w:bottom w:val="single" w:sz="4" w:space="0" w:color="000000"/>
              <w:right w:val="single" w:sz="4" w:space="0" w:color="000000"/>
            </w:tcBorders>
            <w:vAlign w:val="center"/>
          </w:tcPr>
          <w:p>
            <w:pPr>
              <w:pStyle w:val="Normal"/>
              <w:spacing w:before="0" w:after="0"/>
              <w:jc w:val="center"/>
              <w:rPr>
                <w:rFonts w:eastAsia="Times New Roman" w:cs="Arial"/>
                <w:spacing w:val="0"/>
                <w:sz w:val="18"/>
                <w:szCs w:val="16"/>
                <w:lang w:eastAsia="ru-RU"/>
              </w:rPr>
            </w:pPr>
            <w:r>
              <w:rPr>
                <w:rFonts w:eastAsia="Times New Roman" w:cs="Arial"/>
                <w:spacing w:val="0"/>
                <w:sz w:val="18"/>
                <w:szCs w:val="16"/>
                <w:lang w:eastAsia="ru-RU"/>
              </w:rPr>
              <w:t xml:space="preserve"> </w:t>
            </w:r>
            <w:r>
              <w:rPr>
                <w:rFonts w:eastAsia="Times New Roman" w:cs="Arial"/>
                <w:spacing w:val="0"/>
                <w:sz w:val="18"/>
                <w:szCs w:val="16"/>
                <w:lang w:eastAsia="ru-RU"/>
              </w:rPr>
              <w:t>2342,95</w:t>
            </w:r>
          </w:p>
        </w:tc>
        <w:tc>
          <w:tcPr>
            <w:tcW w:w="165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4"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5" w:type="dxa"/>
            <w:tcBorders/>
          </w:tcPr>
          <w:p>
            <w:pPr>
              <w:pStyle w:val="Normal"/>
              <w:spacing w:before="120" w:after="120"/>
              <w:rPr/>
            </w:pPr>
            <w:r>
              <w:rPr/>
            </w:r>
          </w:p>
        </w:tc>
      </w:tr>
      <w:tr>
        <w:trPr>
          <w:trHeight w:val="750" w:hRule="atLeast"/>
        </w:trPr>
        <w:tc>
          <w:tcPr>
            <w:tcW w:w="804"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3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"КЗТА"</w:t>
            </w:r>
          </w:p>
        </w:tc>
        <w:tc>
          <w:tcPr>
            <w:tcW w:w="131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23" w:type="dxa"/>
            <w:tcBorders>
              <w:top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2547,88</w:t>
            </w:r>
          </w:p>
        </w:tc>
        <w:tc>
          <w:tcPr>
            <w:tcW w:w="1654"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51"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49"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314" w:type="dxa"/>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5" w:type="dxa"/>
            <w:tcBorders/>
          </w:tcPr>
          <w:p>
            <w:pPr>
              <w:pStyle w:val="Normal"/>
              <w:spacing w:before="120" w:after="120"/>
              <w:rPr/>
            </w:pPr>
            <w:r>
              <w:rPr/>
            </w:r>
          </w:p>
        </w:tc>
      </w:tr>
      <w:tr>
        <w:trPr>
          <w:trHeight w:val="1135" w:hRule="atLeast"/>
        </w:trPr>
        <w:tc>
          <w:tcPr>
            <w:tcW w:w="804"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34" w:type="dxa"/>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1313"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23" w:type="dxa"/>
            <w:tcBorders>
              <w:top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2407,79</w:t>
            </w:r>
          </w:p>
        </w:tc>
        <w:tc>
          <w:tcPr>
            <w:tcW w:w="1654"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194,399</w:t>
            </w:r>
          </w:p>
        </w:tc>
        <w:tc>
          <w:tcPr>
            <w:tcW w:w="1351"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297,353</w:t>
            </w:r>
          </w:p>
        </w:tc>
        <w:tc>
          <w:tcPr>
            <w:tcW w:w="2249"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1 469,896</w:t>
            </w:r>
          </w:p>
        </w:tc>
        <w:tc>
          <w:tcPr>
            <w:tcW w:w="3314" w:type="dxa"/>
            <w:tcBorders>
              <w:top w:val="single" w:sz="4" w:space="0" w:color="000000"/>
              <w:bottom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44,842</w:t>
            </w:r>
          </w:p>
        </w:tc>
        <w:tc>
          <w:tcPr>
            <w:tcW w:w="5" w:type="dxa"/>
            <w:tcBorders/>
          </w:tcPr>
          <w:p>
            <w:pPr>
              <w:pStyle w:val="Normal"/>
              <w:spacing w:before="120" w:after="120"/>
              <w:rPr/>
            </w:pPr>
            <w:r>
              <w:rPr/>
            </w:r>
          </w:p>
        </w:tc>
      </w:tr>
      <w:tr>
        <w:trPr>
          <w:trHeight w:val="199" w:hRule="atLeast"/>
        </w:trPr>
        <w:tc>
          <w:tcPr>
            <w:tcW w:w="80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t xml:space="preserve"> </w:t>
            </w:r>
            <w:r>
              <w:rPr>
                <w:rFonts w:ascii="Times New Roman" w:hAnsi="Times New Roman"/>
                <w:sz w:val="16"/>
                <w:szCs w:val="16"/>
                <w:lang w:eastAsia="ru-RU"/>
              </w:rPr>
              <w:t>3</w:t>
            </w:r>
          </w:p>
        </w:tc>
        <w:tc>
          <w:tcPr>
            <w:tcW w:w="1812"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634"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t>Производство тепловой энергии</w:t>
            </w:r>
          </w:p>
        </w:tc>
        <w:tc>
          <w:tcPr>
            <w:tcW w:w="1313"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01.12.22-31.12.23</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2131,76</w:t>
            </w:r>
          </w:p>
        </w:tc>
        <w:tc>
          <w:tcPr>
            <w:tcW w:w="165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b/>
                <w:sz w:val="16"/>
              </w:rPr>
            </w:pPr>
            <w:r>
              <w:rPr>
                <w:rFonts w:cs="Times New Roman" w:ascii="Times New Roman" w:hAnsi="Times New Roman"/>
                <w:b/>
                <w:sz w:val="16"/>
              </w:rPr>
            </w:r>
          </w:p>
        </w:tc>
        <w:tc>
          <w:tcPr>
            <w:tcW w:w="1351"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b/>
                <w:sz w:val="16"/>
              </w:rPr>
            </w:pPr>
            <w:r>
              <w:rPr>
                <w:rFonts w:cs="Times New Roman" w:ascii="Times New Roman" w:hAnsi="Times New Roman"/>
                <w:b/>
                <w:sz w:val="16"/>
              </w:rPr>
            </w:r>
          </w:p>
        </w:tc>
        <w:tc>
          <w:tcPr>
            <w:tcW w:w="2249"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b/>
                <w:sz w:val="16"/>
              </w:rPr>
            </w:pPr>
            <w:r>
              <w:rPr>
                <w:rFonts w:cs="Times New Roman" w:ascii="Times New Roman" w:hAnsi="Times New Roman"/>
                <w:b/>
                <w:sz w:val="16"/>
              </w:rPr>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b/>
                <w:sz w:val="16"/>
              </w:rPr>
            </w:pPr>
            <w:r>
              <w:rPr>
                <w:rFonts w:cs="Times New Roman" w:ascii="Times New Roman" w:hAnsi="Times New Roman"/>
                <w:b/>
                <w:sz w:val="16"/>
              </w:rPr>
            </w:r>
          </w:p>
        </w:tc>
        <w:tc>
          <w:tcPr>
            <w:tcW w:w="5" w:type="dxa"/>
            <w:tcBorders/>
          </w:tcPr>
          <w:p>
            <w:pPr>
              <w:pStyle w:val="Normal"/>
              <w:spacing w:before="120" w:after="120"/>
              <w:rPr/>
            </w:pPr>
            <w:r>
              <w:rPr/>
            </w:r>
          </w:p>
        </w:tc>
      </w:tr>
      <w:tr>
        <w:trPr>
          <w:trHeight w:val="199" w:hRule="atLeast"/>
        </w:trPr>
        <w:tc>
          <w:tcPr>
            <w:tcW w:w="804" w:type="dxa"/>
            <w:vMerge w:val="continue"/>
            <w:tcBorders>
              <w:left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812" w:type="dxa"/>
            <w:vMerge w:val="continue"/>
            <w:tcBorders>
              <w:left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634"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t xml:space="preserve"> </w:t>
            </w:r>
            <w:r>
              <w:rPr>
                <w:rFonts w:ascii="Times New Roman" w:hAnsi="Times New Roman"/>
                <w:sz w:val="16"/>
                <w:szCs w:val="16"/>
                <w:lang w:eastAsia="ru-RU"/>
              </w:rPr>
              <w:t>Производство и передача тепловой энергии</w:t>
            </w:r>
          </w:p>
        </w:tc>
        <w:tc>
          <w:tcPr>
            <w:tcW w:w="131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rPr>
            </w:pPr>
            <w:r>
              <w:rPr>
                <w:rFonts w:ascii="Times New Roman" w:hAnsi="Times New Roman"/>
                <w:sz w:val="16"/>
                <w:szCs w:val="16"/>
              </w:rPr>
              <w:t>01.12.22-31.12.23</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2588,59</w:t>
            </w:r>
          </w:p>
        </w:tc>
        <w:tc>
          <w:tcPr>
            <w:tcW w:w="165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z w:val="16"/>
              </w:rPr>
            </w:r>
          </w:p>
        </w:tc>
        <w:tc>
          <w:tcPr>
            <w:tcW w:w="1351"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z w:val="16"/>
              </w:rPr>
            </w:r>
          </w:p>
        </w:tc>
        <w:tc>
          <w:tcPr>
            <w:tcW w:w="2249"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rPr>
            </w:pPr>
            <w:r>
              <w:rPr>
                <w:rFonts w:ascii="Times New Roman" w:hAnsi="Times New Roman"/>
                <w:sz w:val="16"/>
              </w:rPr>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z w:val="16"/>
              </w:rPr>
            </w:r>
          </w:p>
        </w:tc>
        <w:tc>
          <w:tcPr>
            <w:tcW w:w="5" w:type="dxa"/>
            <w:tcBorders/>
          </w:tcPr>
          <w:p>
            <w:pPr>
              <w:pStyle w:val="Normal"/>
              <w:spacing w:before="120" w:after="120"/>
              <w:rPr/>
            </w:pPr>
            <w:r>
              <w:rPr/>
            </w:r>
          </w:p>
        </w:tc>
      </w:tr>
      <w:tr>
        <w:trPr>
          <w:trHeight w:val="199" w:hRule="atLeast"/>
        </w:trPr>
        <w:tc>
          <w:tcPr>
            <w:tcW w:w="804" w:type="dxa"/>
            <w:vMerge w:val="continue"/>
            <w:tcBorders>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812" w:type="dxa"/>
            <w:vMerge w:val="continue"/>
            <w:tcBorders>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634"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lang w:eastAsia="ru-RU"/>
              </w:rPr>
            </w:pPr>
            <w:r>
              <w:rPr>
                <w:rFonts w:ascii="Times New Roman" w:hAnsi="Times New Roman"/>
                <w:sz w:val="16"/>
                <w:szCs w:val="16"/>
                <w:lang w:eastAsia="ru-RU"/>
              </w:rPr>
              <w:t>Производство и передача с учетом услуги по передаче  МУП «Калугатеплосеть»</w:t>
            </w:r>
          </w:p>
        </w:tc>
        <w:tc>
          <w:tcPr>
            <w:tcW w:w="131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rFonts w:ascii="Times New Roman" w:hAnsi="Times New Roman"/>
                <w:sz w:val="16"/>
                <w:szCs w:val="16"/>
              </w:rPr>
            </w:pPr>
            <w:r>
              <w:rPr>
                <w:rFonts w:ascii="Times New Roman" w:hAnsi="Times New Roman"/>
                <w:sz w:val="16"/>
                <w:szCs w:val="16"/>
              </w:rPr>
              <w:t>01.12.22-31.12.23</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8"/>
              </w:rPr>
            </w:pPr>
            <w:r>
              <w:rPr>
                <w:rFonts w:cs="Times New Roman" w:ascii="Times New Roman" w:hAnsi="Times New Roman"/>
                <w:spacing w:val="0"/>
                <w:sz w:val="18"/>
                <w:szCs w:val="16"/>
              </w:rPr>
              <w:t>2982,4</w:t>
            </w:r>
          </w:p>
        </w:tc>
        <w:tc>
          <w:tcPr>
            <w:tcW w:w="165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1351"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2249"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western"/>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5" w:type="dxa"/>
            <w:tcBorders/>
          </w:tcPr>
          <w:p>
            <w:pPr>
              <w:pStyle w:val="Normal"/>
              <w:spacing w:before="120" w:after="120"/>
              <w:rPr/>
            </w:pPr>
            <w:r>
              <w:rPr/>
            </w:r>
          </w:p>
        </w:tc>
      </w:tr>
    </w:tbl>
    <w:p>
      <w:pPr>
        <w:pStyle w:val="Normal"/>
        <w:spacing w:lineRule="auto" w:line="360" w:before="120" w:after="0"/>
        <w:ind w:firstLine="709" w:right="-1"/>
        <w:rPr>
          <w:rFonts w:eastAsia="Arial" w:cs="Arial"/>
          <w:spacing w:val="-4"/>
          <w:sz w:val="24"/>
          <w:szCs w:val="24"/>
        </w:rPr>
      </w:pPr>
      <w:r>
        <w:rPr>
          <w:rFonts w:eastAsia="Arial" w:cs="Arial"/>
          <w:spacing w:val="-4"/>
          <w:sz w:val="24"/>
          <w:szCs w:val="24"/>
        </w:rPr>
      </w:r>
    </w:p>
    <w:tbl>
      <w:tblPr>
        <w:tblW w:w="16239"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59"/>
        <w:gridCol w:w="2460"/>
        <w:gridCol w:w="1620"/>
        <w:gridCol w:w="2368"/>
        <w:gridCol w:w="1471"/>
        <w:gridCol w:w="2350"/>
        <w:gridCol w:w="1733"/>
        <w:gridCol w:w="1799"/>
        <w:gridCol w:w="578"/>
        <w:gridCol w:w="789"/>
        <w:gridCol w:w="210"/>
      </w:tblGrid>
      <w:tr>
        <w:trPr>
          <w:trHeight w:val="330" w:hRule="atLeast"/>
        </w:trPr>
        <w:tc>
          <w:tcPr>
            <w:tcW w:w="859"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5168"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14.10.</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c>
          <w:tcPr>
            <w:tcW w:w="210" w:type="dxa"/>
            <w:tcBorders/>
          </w:tcPr>
          <w:p>
            <w:pPr>
              <w:pStyle w:val="Normal"/>
              <w:spacing w:before="120" w:after="120"/>
              <w:rPr/>
            </w:pPr>
            <w:r>
              <w:rPr/>
            </w:r>
          </w:p>
        </w:tc>
      </w:tr>
      <w:tr>
        <w:trPr>
          <w:trHeight w:val="222" w:hRule="atLeast"/>
        </w:trPr>
        <w:tc>
          <w:tcPr>
            <w:tcW w:w="85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246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236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8720" w:type="dxa"/>
            <w:gridSpan w:val="6"/>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spacing w:val="0"/>
                <w:sz w:val="16"/>
                <w:szCs w:val="16"/>
                <w:lang w:eastAsia="ru-RU"/>
              </w:rPr>
            </w:pPr>
            <w:r>
              <w:rPr>
                <w:rFonts w:eastAsia="Times New Roman" w:cs="Arial"/>
                <w:b/>
                <w:spacing w:val="0"/>
                <w:sz w:val="16"/>
                <w:szCs w:val="16"/>
                <w:lang w:eastAsia="ru-RU"/>
              </w:rPr>
              <w:t>2024 год</w:t>
            </w:r>
          </w:p>
        </w:tc>
        <w:tc>
          <w:tcPr>
            <w:tcW w:w="210" w:type="dxa"/>
            <w:tcBorders/>
          </w:tcPr>
          <w:p>
            <w:pPr>
              <w:pStyle w:val="Normal"/>
              <w:spacing w:before="120" w:after="120"/>
              <w:rPr/>
            </w:pPr>
            <w:r>
              <w:rPr/>
            </w:r>
          </w:p>
        </w:tc>
      </w:tr>
      <w:tr>
        <w:trPr>
          <w:trHeight w:val="435" w:hRule="atLeast"/>
        </w:trPr>
        <w:tc>
          <w:tcPr>
            <w:tcW w:w="85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4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62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71" w:type="dxa"/>
            <w:tcBorders>
              <w:bottom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7249" w:type="dxa"/>
            <w:gridSpan w:val="5"/>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210" w:type="dxa"/>
            <w:tcBorders/>
          </w:tcPr>
          <w:p>
            <w:pPr>
              <w:pStyle w:val="Normal"/>
              <w:spacing w:before="120" w:after="120"/>
              <w:rPr/>
            </w:pPr>
            <w:r>
              <w:rPr/>
            </w:r>
          </w:p>
        </w:tc>
      </w:tr>
      <w:tr>
        <w:trPr>
          <w:trHeight w:val="882" w:hRule="atLeast"/>
        </w:trPr>
        <w:tc>
          <w:tcPr>
            <w:tcW w:w="85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4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62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71"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235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73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1799"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367" w:type="dxa"/>
            <w:gridSpan w:val="2"/>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210" w:type="dxa"/>
            <w:tcBorders/>
          </w:tcPr>
          <w:p>
            <w:pPr>
              <w:pStyle w:val="Normal"/>
              <w:spacing w:before="120" w:after="120"/>
              <w:rPr/>
            </w:pPr>
            <w:r>
              <w:rPr/>
            </w:r>
          </w:p>
        </w:tc>
      </w:tr>
      <w:tr>
        <w:trPr>
          <w:trHeight w:val="222" w:hRule="atLeast"/>
        </w:trPr>
        <w:tc>
          <w:tcPr>
            <w:tcW w:w="859"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246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62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2368"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471"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2350"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73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799"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367" w:type="dxa"/>
            <w:gridSpan w:val="2"/>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210" w:type="dxa"/>
            <w:tcBorders/>
          </w:tcPr>
          <w:p>
            <w:pPr>
              <w:pStyle w:val="Normal"/>
              <w:spacing w:before="120" w:after="120"/>
              <w:rPr/>
            </w:pPr>
            <w:r>
              <w:rPr/>
            </w:r>
          </w:p>
        </w:tc>
      </w:tr>
      <w:tr>
        <w:trPr>
          <w:trHeight w:val="225" w:hRule="atLeast"/>
        </w:trPr>
        <w:tc>
          <w:tcPr>
            <w:tcW w:w="859"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2460" w:type="dxa"/>
            <w:tcBorders>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62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2368"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471" w:type="dxa"/>
            <w:tcBorders>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350"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33"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99"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67" w:type="dxa"/>
            <w:gridSpan w:val="2"/>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10" w:type="dxa"/>
            <w:tcBorders/>
          </w:tcPr>
          <w:p>
            <w:pPr>
              <w:pStyle w:val="Normal"/>
              <w:spacing w:before="120" w:after="120"/>
              <w:rPr/>
            </w:pPr>
            <w:r>
              <w:rPr/>
            </w:r>
          </w:p>
        </w:tc>
      </w:tr>
      <w:tr>
        <w:trPr>
          <w:trHeight w:val="2688" w:hRule="atLeast"/>
        </w:trPr>
        <w:tc>
          <w:tcPr>
            <w:tcW w:w="859" w:type="dxa"/>
            <w:vMerge w:val="restart"/>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2460"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620"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
        </w:tc>
        <w:tc>
          <w:tcPr>
            <w:tcW w:w="2368"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01.07.2024 – 31.12.2024  </w:t>
            </w:r>
          </w:p>
        </w:tc>
        <w:tc>
          <w:tcPr>
            <w:tcW w:w="1471"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3409,36         3724,85</w:t>
            </w:r>
          </w:p>
        </w:tc>
        <w:tc>
          <w:tcPr>
            <w:tcW w:w="235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395,47                          474,56</w:t>
            </w:r>
          </w:p>
        </w:tc>
        <w:tc>
          <w:tcPr>
            <w:tcW w:w="1733"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971,46        1061,36</w:t>
            </w:r>
          </w:p>
        </w:tc>
        <w:tc>
          <w:tcPr>
            <w:tcW w:w="1799" w:type="dxa"/>
            <w:tcBorders>
              <w:top w:val="single" w:sz="4" w:space="0" w:color="000000"/>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2042,43        2188,93</w:t>
            </w:r>
          </w:p>
        </w:tc>
        <w:tc>
          <w:tcPr>
            <w:tcW w:w="1367" w:type="dxa"/>
            <w:gridSpan w:val="2"/>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210" w:type="dxa"/>
            <w:tcBorders/>
          </w:tcPr>
          <w:p>
            <w:pPr>
              <w:pStyle w:val="Normal"/>
              <w:spacing w:before="120" w:after="120"/>
              <w:rPr/>
            </w:pPr>
            <w:r>
              <w:rPr/>
            </w:r>
          </w:p>
        </w:tc>
      </w:tr>
      <w:tr>
        <w:trPr>
          <w:trHeight w:val="2382" w:hRule="atLeast"/>
        </w:trPr>
        <w:tc>
          <w:tcPr>
            <w:tcW w:w="859"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460"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20"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2368"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01.07.2024 – 31.12.2024  </w:t>
            </w:r>
          </w:p>
        </w:tc>
        <w:tc>
          <w:tcPr>
            <w:tcW w:w="1471" w:type="dxa"/>
            <w:tcBorders>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2638,80   3003,17</w:t>
            </w:r>
          </w:p>
        </w:tc>
        <w:tc>
          <w:tcPr>
            <w:tcW w:w="2350" w:type="dxa"/>
            <w:tcBorders>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229,46                            261,16</w:t>
            </w:r>
          </w:p>
        </w:tc>
        <w:tc>
          <w:tcPr>
            <w:tcW w:w="1733" w:type="dxa"/>
            <w:tcBorders>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539,06             613,5</w:t>
            </w:r>
          </w:p>
        </w:tc>
        <w:tc>
          <w:tcPr>
            <w:tcW w:w="1799" w:type="dxa"/>
            <w:tcBorders>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1666,02         1896,07</w:t>
            </w:r>
          </w:p>
        </w:tc>
        <w:tc>
          <w:tcPr>
            <w:tcW w:w="1367" w:type="dxa"/>
            <w:gridSpan w:val="2"/>
            <w:tcBorders>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204,24             233,44</w:t>
            </w:r>
          </w:p>
        </w:tc>
        <w:tc>
          <w:tcPr>
            <w:tcW w:w="210" w:type="dxa"/>
            <w:tcBorders/>
          </w:tcPr>
          <w:p>
            <w:pPr>
              <w:pStyle w:val="Normal"/>
              <w:spacing w:before="120" w:after="120"/>
              <w:rPr/>
            </w:pPr>
            <w:r>
              <w:rPr/>
            </w:r>
          </w:p>
        </w:tc>
      </w:tr>
      <w:tr>
        <w:trPr>
          <w:trHeight w:val="760" w:hRule="atLeast"/>
        </w:trPr>
        <w:tc>
          <w:tcPr>
            <w:tcW w:w="859"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460" w:type="dxa"/>
            <w:vMerge w:val="continue"/>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62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2368"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71"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393,80      478,79</w:t>
            </w:r>
          </w:p>
        </w:tc>
        <w:tc>
          <w:tcPr>
            <w:tcW w:w="2350" w:type="dxa"/>
            <w:tcBorders>
              <w:top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45,56                             55,39</w:t>
            </w:r>
          </w:p>
        </w:tc>
        <w:tc>
          <w:tcPr>
            <w:tcW w:w="1733"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113,83            138,40</w:t>
            </w:r>
          </w:p>
        </w:tc>
        <w:tc>
          <w:tcPr>
            <w:tcW w:w="1799"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234,41              285,00</w:t>
            </w:r>
          </w:p>
        </w:tc>
        <w:tc>
          <w:tcPr>
            <w:tcW w:w="1367" w:type="dxa"/>
            <w:gridSpan w:val="2"/>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210" w:type="dxa"/>
            <w:tcBorders/>
          </w:tcPr>
          <w:p>
            <w:pPr>
              <w:pStyle w:val="Normal"/>
              <w:spacing w:before="120" w:after="120"/>
              <w:rPr/>
            </w:pPr>
            <w:r>
              <w:rPr/>
            </w:r>
          </w:p>
        </w:tc>
      </w:tr>
      <w:tr>
        <w:trPr>
          <w:trHeight w:val="1694" w:hRule="atLeast"/>
        </w:trPr>
        <w:tc>
          <w:tcPr>
            <w:tcW w:w="859"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460"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62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2368"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71"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2407,79  2529,68</w:t>
            </w:r>
          </w:p>
        </w:tc>
        <w:tc>
          <w:tcPr>
            <w:tcW w:w="2350"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251,96                                 264,71</w:t>
            </w:r>
          </w:p>
        </w:tc>
        <w:tc>
          <w:tcPr>
            <w:tcW w:w="1733"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389,49                   409,21</w:t>
            </w:r>
          </w:p>
        </w:tc>
        <w:tc>
          <w:tcPr>
            <w:tcW w:w="1799"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1766,34                   1855,76</w:t>
            </w:r>
          </w:p>
        </w:tc>
        <w:tc>
          <w:tcPr>
            <w:tcW w:w="1367" w:type="dxa"/>
            <w:gridSpan w:val="2"/>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10" w:type="dxa"/>
            <w:tcBorders>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r>
      <w:tr>
        <w:trPr>
          <w:trHeight w:val="1135" w:hRule="atLeast"/>
        </w:trPr>
        <w:tc>
          <w:tcPr>
            <w:tcW w:w="859" w:type="dxa"/>
            <w:tcBorders>
              <w:top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460" w:type="dxa"/>
            <w:tcBorders/>
          </w:tcPr>
          <w:p>
            <w:pPr>
              <w:pStyle w:val="Normal"/>
              <w:spacing w:before="120" w:after="120"/>
              <w:rPr/>
            </w:pPr>
            <w:r>
              <w:rPr/>
            </w:r>
          </w:p>
        </w:tc>
        <w:tc>
          <w:tcPr>
            <w:tcW w:w="1620" w:type="dxa"/>
            <w:tcBorders/>
          </w:tcPr>
          <w:p>
            <w:pPr>
              <w:pStyle w:val="Normal"/>
              <w:spacing w:before="120" w:after="120"/>
              <w:rPr/>
            </w:pPr>
            <w:r>
              <w:rPr/>
            </w:r>
          </w:p>
        </w:tc>
        <w:tc>
          <w:tcPr>
            <w:tcW w:w="2368" w:type="dxa"/>
            <w:tcBorders/>
          </w:tcPr>
          <w:p>
            <w:pPr>
              <w:pStyle w:val="Normal"/>
              <w:spacing w:before="120" w:after="120"/>
              <w:rPr/>
            </w:pPr>
            <w:r>
              <w:rPr/>
            </w:r>
          </w:p>
        </w:tc>
        <w:tc>
          <w:tcPr>
            <w:tcW w:w="1471" w:type="dxa"/>
            <w:tcBorders/>
          </w:tcPr>
          <w:p>
            <w:pPr>
              <w:pStyle w:val="Normal"/>
              <w:spacing w:before="120" w:after="120"/>
              <w:rPr/>
            </w:pPr>
            <w:r>
              <w:rPr/>
            </w:r>
          </w:p>
        </w:tc>
        <w:tc>
          <w:tcPr>
            <w:tcW w:w="2350" w:type="dxa"/>
            <w:tcBorders/>
          </w:tcPr>
          <w:p>
            <w:pPr>
              <w:pStyle w:val="Normal"/>
              <w:spacing w:before="120" w:after="120"/>
              <w:rPr/>
            </w:pPr>
            <w:r>
              <w:rPr/>
            </w:r>
          </w:p>
        </w:tc>
        <w:tc>
          <w:tcPr>
            <w:tcW w:w="1733" w:type="dxa"/>
            <w:tcBorders/>
          </w:tcPr>
          <w:p>
            <w:pPr>
              <w:pStyle w:val="Normal"/>
              <w:spacing w:before="120" w:after="120"/>
              <w:rPr/>
            </w:pPr>
            <w:r>
              <w:rPr/>
            </w:r>
          </w:p>
        </w:tc>
        <w:tc>
          <w:tcPr>
            <w:tcW w:w="1799" w:type="dxa"/>
            <w:tcBorders/>
          </w:tcPr>
          <w:p>
            <w:pPr>
              <w:pStyle w:val="Normal"/>
              <w:spacing w:before="120" w:after="120"/>
              <w:rPr/>
            </w:pPr>
            <w:r>
              <w:rPr/>
            </w:r>
          </w:p>
        </w:tc>
        <w:tc>
          <w:tcPr>
            <w:tcW w:w="578" w:type="dxa"/>
            <w:tcBorders/>
          </w:tcPr>
          <w:p>
            <w:pPr>
              <w:pStyle w:val="Normal"/>
              <w:spacing w:before="120" w:after="120"/>
              <w:rPr/>
            </w:pPr>
            <w:r>
              <w:rPr/>
            </w:r>
          </w:p>
        </w:tc>
        <w:tc>
          <w:tcPr>
            <w:tcW w:w="789" w:type="dxa"/>
            <w:tcBorders/>
          </w:tcPr>
          <w:p>
            <w:pPr>
              <w:pStyle w:val="Normal"/>
              <w:spacing w:before="120" w:after="120"/>
              <w:rPr/>
            </w:pPr>
            <w:r>
              <w:rPr/>
            </w:r>
          </w:p>
        </w:tc>
        <w:tc>
          <w:tcPr>
            <w:tcW w:w="210" w:type="dxa"/>
            <w:tcBorders/>
          </w:tcPr>
          <w:p>
            <w:pPr>
              <w:pStyle w:val="Normal"/>
              <w:spacing w:before="120" w:after="120"/>
              <w:rPr/>
            </w:pPr>
            <w:r>
              <w:rPr/>
            </w:r>
          </w:p>
        </w:tc>
      </w:tr>
      <w:tr>
        <w:trPr>
          <w:trHeight w:val="330" w:hRule="atLeast"/>
        </w:trPr>
        <w:tc>
          <w:tcPr>
            <w:tcW w:w="15238"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14.10.</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bl>
            <w:tblPr>
              <w:tblW w:w="1578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853"/>
              <w:gridCol w:w="2358"/>
              <w:gridCol w:w="1560"/>
              <w:gridCol w:w="1847"/>
              <w:gridCol w:w="1416"/>
              <w:gridCol w:w="1703"/>
              <w:gridCol w:w="1416"/>
              <w:gridCol w:w="1413"/>
              <w:gridCol w:w="1700"/>
              <w:gridCol w:w="30"/>
              <w:gridCol w:w="488"/>
            </w:tblGrid>
            <w:tr>
              <w:trPr>
                <w:trHeight w:val="330" w:hRule="atLeast"/>
              </w:trPr>
              <w:tc>
                <w:tcPr>
                  <w:tcW w:w="1853"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443"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11.</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c>
                <w:tcPr>
                  <w:tcW w:w="488" w:type="dxa"/>
                  <w:tcBorders/>
                </w:tcPr>
                <w:p>
                  <w:pPr>
                    <w:pStyle w:val="Normal"/>
                    <w:spacing w:before="120" w:after="120"/>
                    <w:rPr/>
                  </w:pPr>
                  <w:r>
                    <w:rPr/>
                  </w:r>
                </w:p>
              </w:tc>
            </w:tr>
            <w:tr>
              <w:trPr>
                <w:trHeight w:val="222" w:hRule="atLeast"/>
              </w:trPr>
              <w:tc>
                <w:tcPr>
                  <w:tcW w:w="185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235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184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7678" w:type="dxa"/>
                  <w:gridSpan w:val="6"/>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spacing w:val="0"/>
                      <w:sz w:val="16"/>
                      <w:szCs w:val="16"/>
                      <w:lang w:eastAsia="ru-RU"/>
                    </w:rPr>
                  </w:pPr>
                  <w:r>
                    <w:rPr>
                      <w:rFonts w:eastAsia="Times New Roman" w:cs="Arial"/>
                      <w:b/>
                      <w:spacing w:val="0"/>
                      <w:sz w:val="16"/>
                      <w:szCs w:val="16"/>
                      <w:lang w:eastAsia="ru-RU"/>
                    </w:rPr>
                    <w:t>2024 год</w:t>
                  </w:r>
                </w:p>
              </w:tc>
              <w:tc>
                <w:tcPr>
                  <w:tcW w:w="488" w:type="dxa"/>
                  <w:tcBorders/>
                </w:tcPr>
                <w:p>
                  <w:pPr>
                    <w:pStyle w:val="Normal"/>
                    <w:spacing w:before="120" w:after="120"/>
                    <w:rPr/>
                  </w:pPr>
                  <w:r>
                    <w:rPr/>
                  </w:r>
                </w:p>
              </w:tc>
            </w:tr>
            <w:tr>
              <w:trPr>
                <w:trHeight w:val="435" w:hRule="atLeast"/>
              </w:trPr>
              <w:tc>
                <w:tcPr>
                  <w:tcW w:w="18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5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16" w:type="dxa"/>
                  <w:tcBorders>
                    <w:bottom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6262" w:type="dxa"/>
                  <w:gridSpan w:val="5"/>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488" w:type="dxa"/>
                  <w:tcBorders/>
                </w:tcPr>
                <w:p>
                  <w:pPr>
                    <w:pStyle w:val="Normal"/>
                    <w:spacing w:before="120" w:after="120"/>
                    <w:rPr/>
                  </w:pPr>
                  <w:r>
                    <w:rPr/>
                  </w:r>
                </w:p>
              </w:tc>
            </w:tr>
            <w:tr>
              <w:trPr>
                <w:trHeight w:val="882" w:hRule="atLeast"/>
              </w:trPr>
              <w:tc>
                <w:tcPr>
                  <w:tcW w:w="18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5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1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41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141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70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22" w:hRule="atLeast"/>
              </w:trPr>
              <w:tc>
                <w:tcPr>
                  <w:tcW w:w="1853"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2358"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56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184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416"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416"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41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700"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25" w:hRule="atLeast"/>
              </w:trPr>
              <w:tc>
                <w:tcPr>
                  <w:tcW w:w="1853"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2358" w:type="dxa"/>
                  <w:tcBorders>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56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4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416" w:type="dxa"/>
                  <w:tcBorders>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3"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16"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13"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0"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688" w:hRule="atLeast"/>
              </w:trPr>
              <w:tc>
                <w:tcPr>
                  <w:tcW w:w="1853" w:type="dxa"/>
                  <w:vMerge w:val="restart"/>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2358"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560"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
              </w:tc>
              <w:tc>
                <w:tcPr>
                  <w:tcW w:w="1847"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01.07.2024 – 31.12.2024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3409,36         3724,85</w:t>
                  </w:r>
                </w:p>
              </w:tc>
              <w:tc>
                <w:tcPr>
                  <w:tcW w:w="170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395,47                          474,56</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971,46        1061,36</w:t>
                  </w:r>
                </w:p>
              </w:tc>
              <w:tc>
                <w:tcPr>
                  <w:tcW w:w="1413" w:type="dxa"/>
                  <w:tcBorders>
                    <w:top w:val="single" w:sz="4" w:space="0" w:color="000000"/>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2042,43        2188,93</w:t>
                  </w:r>
                </w:p>
              </w:tc>
              <w:tc>
                <w:tcPr>
                  <w:tcW w:w="1700" w:type="dxa"/>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382"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1847"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01.07.2024 – 31.12.2024  </w:t>
                  </w:r>
                </w:p>
              </w:tc>
              <w:tc>
                <w:tcPr>
                  <w:tcW w:w="1416" w:type="dxa"/>
                  <w:tcBorders>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2638,80   3003,17</w:t>
                  </w:r>
                </w:p>
              </w:tc>
              <w:tc>
                <w:tcPr>
                  <w:tcW w:w="1703" w:type="dxa"/>
                  <w:tcBorders>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229,46                            261,16</w:t>
                  </w:r>
                </w:p>
              </w:tc>
              <w:tc>
                <w:tcPr>
                  <w:tcW w:w="1416" w:type="dxa"/>
                  <w:tcBorders>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539,06             613,5</w:t>
                  </w:r>
                </w:p>
              </w:tc>
              <w:tc>
                <w:tcPr>
                  <w:tcW w:w="1413" w:type="dxa"/>
                  <w:tcBorders>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1666,02         1896,07</w:t>
                  </w:r>
                </w:p>
              </w:tc>
              <w:tc>
                <w:tcPr>
                  <w:tcW w:w="1700" w:type="dxa"/>
                  <w:tcBorders>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204,24             233,44</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760"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1847"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393,80      478,79</w:t>
                  </w:r>
                </w:p>
              </w:tc>
              <w:tc>
                <w:tcPr>
                  <w:tcW w:w="1703" w:type="dxa"/>
                  <w:tcBorders>
                    <w:top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45,56                             55,39</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113,83            138,40</w:t>
                  </w:r>
                </w:p>
              </w:tc>
              <w:tc>
                <w:tcPr>
                  <w:tcW w:w="1413"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234,41              285,00</w:t>
                  </w:r>
                </w:p>
              </w:tc>
              <w:tc>
                <w:tcPr>
                  <w:tcW w:w="1700" w:type="dxa"/>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1694"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1847"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01.01.2024 - 30.06.2024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2407,79  2529,68</w:t>
                  </w:r>
                </w:p>
              </w:tc>
              <w:tc>
                <w:tcPr>
                  <w:tcW w:w="1703"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251,96                                 264,71</w:t>
                  </w:r>
                </w:p>
              </w:tc>
              <w:tc>
                <w:tcPr>
                  <w:tcW w:w="1416"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389,49                   409,21</w:t>
                  </w:r>
                </w:p>
              </w:tc>
              <w:tc>
                <w:tcPr>
                  <w:tcW w:w="1413"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1766,34                   1855,76</w:t>
                  </w:r>
                </w:p>
              </w:tc>
              <w:tc>
                <w:tcPr>
                  <w:tcW w:w="1700"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518" w:type="dxa"/>
                  <w:gridSpan w:val="2"/>
                  <w:tcBorders>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r>
            <w:tr>
              <w:trPr>
                <w:trHeight w:val="1135" w:hRule="atLeast"/>
              </w:trPr>
              <w:tc>
                <w:tcPr>
                  <w:tcW w:w="1853" w:type="dxa"/>
                  <w:tcBorders>
                    <w:top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58" w:type="dxa"/>
                  <w:tcBorders/>
                </w:tcPr>
                <w:p>
                  <w:pPr>
                    <w:pStyle w:val="Normal"/>
                    <w:spacing w:before="120" w:after="120"/>
                    <w:rPr/>
                  </w:pPr>
                  <w:r>
                    <w:rPr/>
                  </w:r>
                </w:p>
              </w:tc>
              <w:tc>
                <w:tcPr>
                  <w:tcW w:w="1560" w:type="dxa"/>
                  <w:tcBorders/>
                </w:tcPr>
                <w:p>
                  <w:pPr>
                    <w:pStyle w:val="Normal"/>
                    <w:spacing w:before="120" w:after="120"/>
                    <w:rPr/>
                  </w:pPr>
                  <w:r>
                    <w:rPr/>
                  </w:r>
                </w:p>
              </w:tc>
              <w:tc>
                <w:tcPr>
                  <w:tcW w:w="1847" w:type="dxa"/>
                  <w:tcBorders/>
                </w:tcPr>
                <w:p>
                  <w:pPr>
                    <w:pStyle w:val="Normal"/>
                    <w:spacing w:before="120" w:after="120"/>
                    <w:rPr/>
                  </w:pPr>
                  <w:r>
                    <w:rPr/>
                  </w:r>
                </w:p>
              </w:tc>
              <w:tc>
                <w:tcPr>
                  <w:tcW w:w="1416" w:type="dxa"/>
                  <w:tcBorders/>
                </w:tcPr>
                <w:p>
                  <w:pPr>
                    <w:pStyle w:val="Normal"/>
                    <w:spacing w:before="120" w:after="120"/>
                    <w:rPr/>
                  </w:pPr>
                  <w:r>
                    <w:rPr/>
                  </w:r>
                </w:p>
              </w:tc>
              <w:tc>
                <w:tcPr>
                  <w:tcW w:w="1703" w:type="dxa"/>
                  <w:tcBorders/>
                </w:tcPr>
                <w:p>
                  <w:pPr>
                    <w:pStyle w:val="Normal"/>
                    <w:spacing w:before="120" w:after="120"/>
                    <w:rPr/>
                  </w:pPr>
                  <w:r>
                    <w:rPr/>
                  </w:r>
                </w:p>
              </w:tc>
              <w:tc>
                <w:tcPr>
                  <w:tcW w:w="1416" w:type="dxa"/>
                  <w:tcBorders/>
                </w:tcPr>
                <w:p>
                  <w:pPr>
                    <w:pStyle w:val="Normal"/>
                    <w:spacing w:before="120" w:after="120"/>
                    <w:rPr/>
                  </w:pPr>
                  <w:r>
                    <w:rPr/>
                  </w:r>
                </w:p>
              </w:tc>
              <w:tc>
                <w:tcPr>
                  <w:tcW w:w="1413" w:type="dxa"/>
                  <w:tcBorders/>
                </w:tcPr>
                <w:p>
                  <w:pPr>
                    <w:pStyle w:val="Normal"/>
                    <w:spacing w:before="120" w:after="120"/>
                    <w:rPr/>
                  </w:pPr>
                  <w:r>
                    <w:rPr/>
                  </w:r>
                </w:p>
              </w:tc>
              <w:tc>
                <w:tcPr>
                  <w:tcW w:w="1700" w:type="dxa"/>
                  <w:tcBorders/>
                </w:tcPr>
                <w:p>
                  <w:pPr>
                    <w:pStyle w:val="Normal"/>
                    <w:spacing w:before="120" w:after="120"/>
                    <w:rPr/>
                  </w:pPr>
                  <w:r>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330" w:hRule="atLeast"/>
              </w:trPr>
              <w:tc>
                <w:tcPr>
                  <w:tcW w:w="1853"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443" w:type="dxa"/>
                  <w:gridSpan w:val="9"/>
                  <w:tcBorders/>
                  <w:vAlign w:val="bottom"/>
                </w:tcPr>
                <w:p>
                  <w:pPr>
                    <w:pStyle w:val="Normal"/>
                    <w:widowControl/>
                    <w:spacing w:before="0" w:after="0"/>
                    <w:ind w:hanging="0"/>
                    <w:jc w:val="left"/>
                    <w:rPr>
                      <w:rFonts w:eastAsia="Times New Roman" w:cs="Arial"/>
                      <w:b/>
                      <w:bCs/>
                      <w:spacing w:val="0"/>
                      <w:sz w:val="20"/>
                      <w:szCs w:val="20"/>
                      <w:lang w:eastAsia="ru-RU"/>
                    </w:rPr>
                  </w:pPr>
                  <w:r>
                    <w:rPr>
                      <w:b/>
                      <w:bCs/>
                      <w:sz w:val="20"/>
                      <w:szCs w:val="20"/>
                    </w:rPr>
                    <w:t>Таблица 12.</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c>
                <w:tcPr>
                  <w:tcW w:w="488" w:type="dxa"/>
                  <w:tcBorders/>
                </w:tcPr>
                <w:p>
                  <w:pPr>
                    <w:pStyle w:val="Normal"/>
                    <w:spacing w:before="120" w:after="120"/>
                    <w:rPr/>
                  </w:pPr>
                  <w:r>
                    <w:rPr/>
                  </w:r>
                </w:p>
              </w:tc>
            </w:tr>
            <w:tr>
              <w:trPr>
                <w:trHeight w:val="330" w:hRule="atLeast"/>
              </w:trPr>
              <w:tc>
                <w:tcPr>
                  <w:tcW w:w="1853" w:type="dxa"/>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443" w:type="dxa"/>
                  <w:gridSpan w:val="9"/>
                  <w:tcBorders/>
                  <w:vAlign w:val="bottom"/>
                </w:tcPr>
                <w:p>
                  <w:pPr>
                    <w:pStyle w:val="Normal"/>
                    <w:widowControl/>
                    <w:spacing w:before="0" w:after="0"/>
                    <w:ind w:hanging="0"/>
                    <w:jc w:val="left"/>
                    <w:rPr>
                      <w:b/>
                      <w:bCs/>
                      <w:sz w:val="20"/>
                      <w:szCs w:val="20"/>
                    </w:rPr>
                  </w:pPr>
                  <w:r>
                    <w:rPr>
                      <w:b/>
                      <w:bCs/>
                      <w:sz w:val="20"/>
                      <w:szCs w:val="20"/>
                    </w:rPr>
                  </w:r>
                </w:p>
              </w:tc>
              <w:tc>
                <w:tcPr>
                  <w:tcW w:w="488" w:type="dxa"/>
                  <w:tcBorders/>
                </w:tcPr>
                <w:p>
                  <w:pPr>
                    <w:pStyle w:val="Normal"/>
                    <w:spacing w:before="120" w:after="120"/>
                    <w:rPr/>
                  </w:pPr>
                  <w:r>
                    <w:rPr/>
                  </w:r>
                </w:p>
              </w:tc>
            </w:tr>
            <w:tr>
              <w:trPr>
                <w:trHeight w:val="222" w:hRule="atLeast"/>
              </w:trPr>
              <w:tc>
                <w:tcPr>
                  <w:tcW w:w="185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235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184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7678" w:type="dxa"/>
                  <w:gridSpan w:val="6"/>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spacing w:val="0"/>
                      <w:sz w:val="16"/>
                      <w:szCs w:val="16"/>
                      <w:lang w:eastAsia="ru-RU"/>
                    </w:rPr>
                  </w:pPr>
                  <w:r>
                    <w:rPr>
                      <w:rFonts w:eastAsia="Times New Roman" w:cs="Arial"/>
                      <w:b/>
                      <w:spacing w:val="0"/>
                      <w:sz w:val="16"/>
                      <w:szCs w:val="16"/>
                      <w:lang w:eastAsia="ru-RU"/>
                    </w:rPr>
                    <w:t>2025 год</w:t>
                  </w:r>
                </w:p>
              </w:tc>
              <w:tc>
                <w:tcPr>
                  <w:tcW w:w="488" w:type="dxa"/>
                  <w:tcBorders/>
                </w:tcPr>
                <w:p>
                  <w:pPr>
                    <w:pStyle w:val="Normal"/>
                    <w:spacing w:before="120" w:after="120"/>
                    <w:rPr/>
                  </w:pPr>
                  <w:r>
                    <w:rPr/>
                  </w:r>
                </w:p>
              </w:tc>
            </w:tr>
            <w:tr>
              <w:trPr>
                <w:trHeight w:val="435" w:hRule="atLeast"/>
              </w:trPr>
              <w:tc>
                <w:tcPr>
                  <w:tcW w:w="18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5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16" w:type="dxa"/>
                  <w:tcBorders>
                    <w:bottom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6262" w:type="dxa"/>
                  <w:gridSpan w:val="5"/>
                  <w:tcBorders>
                    <w:top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488" w:type="dxa"/>
                  <w:tcBorders/>
                </w:tcPr>
                <w:p>
                  <w:pPr>
                    <w:pStyle w:val="Normal"/>
                    <w:spacing w:before="120" w:after="120"/>
                    <w:rPr/>
                  </w:pPr>
                  <w:r>
                    <w:rPr/>
                  </w:r>
                </w:p>
              </w:tc>
            </w:tr>
            <w:tr>
              <w:trPr>
                <w:trHeight w:val="882" w:hRule="atLeast"/>
              </w:trPr>
              <w:tc>
                <w:tcPr>
                  <w:tcW w:w="18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23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56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r>
                </w:p>
              </w:tc>
              <w:tc>
                <w:tcPr>
                  <w:tcW w:w="141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416"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1413"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70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22" w:hRule="atLeast"/>
              </w:trPr>
              <w:tc>
                <w:tcPr>
                  <w:tcW w:w="1853"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2358"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56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184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416"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416"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413"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700" w:type="dxa"/>
                  <w:tcBorders>
                    <w:bottom w:val="single" w:sz="4" w:space="0" w:color="000000"/>
                    <w:right w:val="single" w:sz="4" w:space="0" w:color="000000"/>
                  </w:tcBorders>
                  <w:vAlign w:val="bottom"/>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25" w:hRule="atLeast"/>
              </w:trPr>
              <w:tc>
                <w:tcPr>
                  <w:tcW w:w="1853"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2358" w:type="dxa"/>
                  <w:tcBorders>
                    <w:bottom w:val="single" w:sz="4" w:space="0" w:color="000000"/>
                    <w:right w:val="single" w:sz="4" w:space="0" w:color="000000"/>
                  </w:tcBorders>
                  <w:vAlign w:val="center"/>
                </w:tcPr>
                <w:p>
                  <w:pPr>
                    <w:pStyle w:val="Normal"/>
                    <w:widowControl/>
                    <w:spacing w:before="0" w:after="0"/>
                    <w:ind w:hanging="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560"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847" w:type="dxa"/>
                  <w:tcBorders>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416" w:type="dxa"/>
                  <w:tcBorders>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3"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16"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13"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0" w:type="dxa"/>
                  <w:tcBorders>
                    <w:left w:val="single" w:sz="4" w:space="0" w:color="000000"/>
                    <w:bottom w:val="single" w:sz="4" w:space="0" w:color="000000"/>
                    <w:right w:val="single" w:sz="4" w:space="0" w:color="000000"/>
                  </w:tcBorders>
                  <w:vAlign w:val="bottom"/>
                </w:tcPr>
                <w:p>
                  <w:pPr>
                    <w:pStyle w:val="Normal"/>
                    <w:widowControl/>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688" w:hRule="atLeast"/>
              </w:trPr>
              <w:tc>
                <w:tcPr>
                  <w:tcW w:w="1853" w:type="dxa"/>
                  <w:vMerge w:val="restart"/>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2358" w:type="dxa"/>
                  <w:vMerge w:val="restart"/>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560" w:type="dxa"/>
                  <w:tcBorders>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
              </w:tc>
              <w:tc>
                <w:tcPr>
                  <w:tcW w:w="1847"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01.01.2025 - 30.06.2025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01.07.2025 – 31.12.2025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3 104,04</w:t>
                  </w:r>
                </w:p>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3 521,38</w:t>
                  </w:r>
                </w:p>
              </w:tc>
              <w:tc>
                <w:tcPr>
                  <w:tcW w:w="170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361,63</w:t>
                  </w:r>
                </w:p>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41,25</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834,24</w:t>
                  </w:r>
                </w:p>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946,40</w:t>
                  </w:r>
                </w:p>
              </w:tc>
              <w:tc>
                <w:tcPr>
                  <w:tcW w:w="1413" w:type="dxa"/>
                  <w:tcBorders>
                    <w:top w:val="single" w:sz="4" w:space="0" w:color="000000"/>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1 908,17</w:t>
                  </w:r>
                </w:p>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2 164,73</w:t>
                  </w:r>
                </w:p>
              </w:tc>
              <w:tc>
                <w:tcPr>
                  <w:tcW w:w="1700" w:type="dxa"/>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2382"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1847" w:type="dxa"/>
                  <w:tcBorders>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01.01.2025 - 30.06.2025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01.07.2025 – 31.12.2025  </w:t>
                  </w:r>
                </w:p>
              </w:tc>
              <w:tc>
                <w:tcPr>
                  <w:tcW w:w="1416" w:type="dxa"/>
                  <w:tcBorders>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2 496,03</w:t>
                  </w:r>
                </w:p>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2 793,68</w:t>
                  </w:r>
                </w:p>
              </w:tc>
              <w:tc>
                <w:tcPr>
                  <w:tcW w:w="1703" w:type="dxa"/>
                  <w:tcBorders>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219,08</w:t>
                  </w:r>
                </w:p>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245,21</w:t>
                  </w:r>
                </w:p>
              </w:tc>
              <w:tc>
                <w:tcPr>
                  <w:tcW w:w="1416" w:type="dxa"/>
                  <w:tcBorders>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472,93</w:t>
                  </w:r>
                </w:p>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529,32</w:t>
                  </w:r>
                </w:p>
              </w:tc>
              <w:tc>
                <w:tcPr>
                  <w:tcW w:w="1413" w:type="dxa"/>
                  <w:tcBorders>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1 628,91</w:t>
                  </w:r>
                </w:p>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1 823,15</w:t>
                  </w:r>
                </w:p>
              </w:tc>
              <w:tc>
                <w:tcPr>
                  <w:tcW w:w="1700" w:type="dxa"/>
                  <w:tcBorders>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175,11</w:t>
                  </w:r>
                </w:p>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196,00</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760"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1847"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xml:space="preserve">01.01.2025 - 30.06.2025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01.07.2025 – 31.12.2025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398,99</w:t>
                  </w:r>
                </w:p>
                <w:p>
                  <w:pPr>
                    <w:pStyle w:val="Normal"/>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421,44</w:t>
                  </w:r>
                </w:p>
              </w:tc>
              <w:tc>
                <w:tcPr>
                  <w:tcW w:w="1703" w:type="dxa"/>
                  <w:tcBorders>
                    <w:top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39,83</w:t>
                  </w:r>
                </w:p>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42,06</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106,69</w:t>
                  </w:r>
                </w:p>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112,69</w:t>
                  </w:r>
                </w:p>
              </w:tc>
              <w:tc>
                <w:tcPr>
                  <w:tcW w:w="1413"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243,95</w:t>
                  </w:r>
                </w:p>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257,68</w:t>
                  </w:r>
                </w:p>
              </w:tc>
              <w:tc>
                <w:tcPr>
                  <w:tcW w:w="1700" w:type="dxa"/>
                  <w:tcBorders>
                    <w:top w:val="single" w:sz="4" w:space="0" w:color="000000"/>
                    <w:bottom w:val="single" w:sz="4" w:space="0" w:color="000000"/>
                    <w:right w:val="single" w:sz="4" w:space="0" w:color="000000"/>
                  </w:tcBorders>
                  <w:vAlign w:val="center"/>
                </w:tcPr>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t>8,52</w:t>
                  </w:r>
                </w:p>
                <w:p>
                  <w:pPr>
                    <w:pStyle w:val="Normal"/>
                    <w:spacing w:before="0" w:after="0"/>
                    <w:jc w:val="left"/>
                    <w:rPr>
                      <w:rFonts w:eastAsia="Times New Roman" w:cs="Arial"/>
                      <w:spacing w:val="0"/>
                      <w:sz w:val="16"/>
                      <w:szCs w:val="16"/>
                      <w:lang w:eastAsia="ru-RU"/>
                    </w:rPr>
                  </w:pPr>
                  <w:r>
                    <w:rPr>
                      <w:rFonts w:eastAsia="Times New Roman" w:cs="Arial"/>
                      <w:spacing w:val="0"/>
                      <w:sz w:val="16"/>
                      <w:szCs w:val="16"/>
                      <w:lang w:eastAsia="ru-RU"/>
                    </w:rPr>
                    <w:t>9,01</w:t>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r>
              <w:trPr>
                <w:trHeight w:val="1694" w:hRule="atLeast"/>
              </w:trPr>
              <w:tc>
                <w:tcPr>
                  <w:tcW w:w="1853" w:type="dxa"/>
                  <w:vMerge w:val="continue"/>
                  <w:tcBorders>
                    <w:left w:val="single" w:sz="4" w:space="0" w:color="000000"/>
                    <w:right w:val="single" w:sz="4" w:space="0" w:color="000000"/>
                  </w:tcBorders>
                  <w:vAlign w:val="center"/>
                </w:tcPr>
                <w:p>
                  <w:pPr>
                    <w:pStyle w:val="Normal"/>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58" w:type="dxa"/>
                  <w:vMerge w:val="continue"/>
                  <w:tcBorders>
                    <w:left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1847" w:type="dxa"/>
                  <w:tcBorders>
                    <w:top w:val="single" w:sz="4" w:space="0" w:color="000000"/>
                    <w:bottom w:val="single" w:sz="4" w:space="0" w:color="000000"/>
                    <w:right w:val="single" w:sz="4" w:space="0" w:color="000000"/>
                  </w:tcBorders>
                  <w:vAlign w:val="center"/>
                </w:tcPr>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01.01.2025 - 30.06.2025 </w:t>
                  </w:r>
                </w:p>
                <w:p>
                  <w:pPr>
                    <w:pStyle w:val="Normal"/>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01.07.2025 – 31.12.2025  .</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2 108,07</w:t>
                  </w:r>
                </w:p>
                <w:p>
                  <w:pPr>
                    <w:pStyle w:val="Norma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2 385,74</w:t>
                  </w:r>
                </w:p>
              </w:tc>
              <w:tc>
                <w:tcPr>
                  <w:tcW w:w="1703" w:type="dxa"/>
                  <w:tcBorders>
                    <w:top w:val="single" w:sz="4" w:space="0" w:color="000000"/>
                    <w:bottom w:val="single" w:sz="4" w:space="0" w:color="000000"/>
                    <w:right w:val="single" w:sz="4" w:space="0" w:color="000000"/>
                  </w:tcBorders>
                  <w:vAlign w:val="center"/>
                </w:tcPr>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239,05</w:t>
                  </w:r>
                </w:p>
                <w:p>
                  <w:pPr>
                    <w:pStyle w:val="Normal"/>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270,54</w:t>
                  </w:r>
                </w:p>
              </w:tc>
              <w:tc>
                <w:tcPr>
                  <w:tcW w:w="1416" w:type="dxa"/>
                  <w:tcBorders>
                    <w:top w:val="single" w:sz="4" w:space="0" w:color="000000"/>
                    <w:bottom w:val="single" w:sz="4" w:space="0" w:color="000000"/>
                    <w:right w:val="single" w:sz="4" w:space="0" w:color="000000"/>
                  </w:tcBorders>
                  <w:vAlign w:val="center"/>
                </w:tcPr>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465,47</w:t>
                  </w:r>
                </w:p>
                <w:p>
                  <w:pPr>
                    <w:pStyle w:val="Normal"/>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526,79</w:t>
                  </w:r>
                </w:p>
              </w:tc>
              <w:tc>
                <w:tcPr>
                  <w:tcW w:w="1413" w:type="dxa"/>
                  <w:tcBorders>
                    <w:top w:val="single" w:sz="4" w:space="0" w:color="000000"/>
                    <w:bottom w:val="single" w:sz="4" w:space="0" w:color="000000"/>
                    <w:right w:val="single" w:sz="4" w:space="0" w:color="000000"/>
                  </w:tcBorders>
                  <w:vAlign w:val="center"/>
                </w:tcPr>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1 542,10</w:t>
                  </w:r>
                </w:p>
                <w:p>
                  <w:pPr>
                    <w:pStyle w:val="Normal"/>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1 745,22</w:t>
                  </w:r>
                </w:p>
              </w:tc>
              <w:tc>
                <w:tcPr>
                  <w:tcW w:w="1700" w:type="dxa"/>
                  <w:tcBorders>
                    <w:top w:val="single" w:sz="4" w:space="0" w:color="000000"/>
                    <w:bottom w:val="single" w:sz="4" w:space="0" w:color="000000"/>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-138,55</w:t>
                  </w:r>
                </w:p>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-156,81</w:t>
                  </w:r>
                </w:p>
              </w:tc>
              <w:tc>
                <w:tcPr>
                  <w:tcW w:w="518" w:type="dxa"/>
                  <w:gridSpan w:val="2"/>
                  <w:tcBorders>
                    <w:right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r>
            <w:tr>
              <w:trPr>
                <w:trHeight w:val="1135" w:hRule="atLeast"/>
              </w:trPr>
              <w:tc>
                <w:tcPr>
                  <w:tcW w:w="1853" w:type="dxa"/>
                  <w:tcBorders>
                    <w:top w:val="single" w:sz="4" w:space="0" w:color="000000"/>
                  </w:tcBorders>
                  <w:vAlign w:val="center"/>
                </w:tcPr>
                <w:p>
                  <w:pPr>
                    <w:pStyle w:val="Normal"/>
                    <w:widowControl/>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58" w:type="dxa"/>
                  <w:tcBorders/>
                </w:tcPr>
                <w:p>
                  <w:pPr>
                    <w:pStyle w:val="Normal"/>
                    <w:spacing w:before="120" w:after="120"/>
                    <w:rPr/>
                  </w:pPr>
                  <w:r>
                    <w:rPr/>
                  </w:r>
                </w:p>
              </w:tc>
              <w:tc>
                <w:tcPr>
                  <w:tcW w:w="1560" w:type="dxa"/>
                  <w:tcBorders/>
                </w:tcPr>
                <w:p>
                  <w:pPr>
                    <w:pStyle w:val="Normal"/>
                    <w:spacing w:before="120" w:after="120"/>
                    <w:rPr/>
                  </w:pPr>
                  <w:r>
                    <w:rPr/>
                  </w:r>
                </w:p>
              </w:tc>
              <w:tc>
                <w:tcPr>
                  <w:tcW w:w="1847" w:type="dxa"/>
                  <w:tcBorders/>
                </w:tcPr>
                <w:p>
                  <w:pPr>
                    <w:pStyle w:val="Normal"/>
                    <w:spacing w:before="120" w:after="120"/>
                    <w:rPr/>
                  </w:pPr>
                  <w:r>
                    <w:rPr/>
                  </w:r>
                </w:p>
              </w:tc>
              <w:tc>
                <w:tcPr>
                  <w:tcW w:w="1416" w:type="dxa"/>
                  <w:tcBorders/>
                </w:tcPr>
                <w:p>
                  <w:pPr>
                    <w:pStyle w:val="Normal"/>
                    <w:spacing w:before="120" w:after="120"/>
                    <w:rPr/>
                  </w:pPr>
                  <w:r>
                    <w:rPr/>
                  </w:r>
                </w:p>
              </w:tc>
              <w:tc>
                <w:tcPr>
                  <w:tcW w:w="1703" w:type="dxa"/>
                  <w:tcBorders/>
                </w:tcPr>
                <w:p>
                  <w:pPr>
                    <w:pStyle w:val="Normal"/>
                    <w:spacing w:before="120" w:after="120"/>
                    <w:rPr/>
                  </w:pPr>
                  <w:r>
                    <w:rPr/>
                  </w:r>
                </w:p>
              </w:tc>
              <w:tc>
                <w:tcPr>
                  <w:tcW w:w="1416" w:type="dxa"/>
                  <w:tcBorders/>
                </w:tcPr>
                <w:p>
                  <w:pPr>
                    <w:pStyle w:val="Normal"/>
                    <w:spacing w:before="120" w:after="120"/>
                    <w:rPr/>
                  </w:pPr>
                  <w:r>
                    <w:rPr/>
                  </w:r>
                </w:p>
              </w:tc>
              <w:tc>
                <w:tcPr>
                  <w:tcW w:w="1413" w:type="dxa"/>
                  <w:tcBorders/>
                </w:tcPr>
                <w:p>
                  <w:pPr>
                    <w:pStyle w:val="Normal"/>
                    <w:spacing w:before="120" w:after="120"/>
                    <w:rPr/>
                  </w:pPr>
                  <w:r>
                    <w:rPr/>
                  </w:r>
                </w:p>
              </w:tc>
              <w:tc>
                <w:tcPr>
                  <w:tcW w:w="1700" w:type="dxa"/>
                  <w:tcBorders/>
                </w:tcPr>
                <w:p>
                  <w:pPr>
                    <w:pStyle w:val="Normal"/>
                    <w:spacing w:before="120" w:after="120"/>
                    <w:rPr/>
                  </w:pPr>
                  <w:r>
                    <w:rPr/>
                  </w:r>
                </w:p>
              </w:tc>
              <w:tc>
                <w:tcPr>
                  <w:tcW w:w="30" w:type="dxa"/>
                  <w:tcBorders/>
                </w:tcPr>
                <w:p>
                  <w:pPr>
                    <w:pStyle w:val="Normal"/>
                    <w:spacing w:before="120" w:after="120"/>
                    <w:rPr/>
                  </w:pPr>
                  <w:r>
                    <w:rPr/>
                  </w:r>
                </w:p>
              </w:tc>
              <w:tc>
                <w:tcPr>
                  <w:tcW w:w="488" w:type="dxa"/>
                  <w:tcBorders/>
                </w:tcPr>
                <w:p>
                  <w:pPr>
                    <w:pStyle w:val="Normal"/>
                    <w:spacing w:before="120" w:after="120"/>
                    <w:rPr/>
                  </w:pPr>
                  <w:r>
                    <w:rPr/>
                  </w:r>
                </w:p>
              </w:tc>
            </w:tr>
          </w:tbl>
          <w:p>
            <w:pPr>
              <w:pStyle w:val="Normal"/>
              <w:widowControl/>
              <w:spacing w:before="0" w:after="0"/>
              <w:ind w:hanging="0"/>
              <w:jc w:val="left"/>
              <w:rPr>
                <w:b/>
                <w:bCs/>
                <w:sz w:val="20"/>
                <w:szCs w:val="20"/>
              </w:rPr>
            </w:pPr>
            <w:r>
              <w:rPr>
                <w:b/>
                <w:bCs/>
                <w:sz w:val="20"/>
                <w:szCs w:val="20"/>
              </w:rPr>
              <w:t>Таблица 14.11.</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 в зоне действия филиала АО «Квадра»-«Калужская генерация».</w:t>
            </w:r>
          </w:p>
        </w:tc>
        <w:tc>
          <w:tcPr>
            <w:tcW w:w="789" w:type="dxa"/>
            <w:tcBorders/>
          </w:tcPr>
          <w:p>
            <w:pPr>
              <w:pStyle w:val="Normal"/>
              <w:spacing w:before="120" w:after="120"/>
              <w:rPr/>
            </w:pPr>
            <w:r>
              <w:rPr/>
            </w:r>
          </w:p>
        </w:tc>
        <w:tc>
          <w:tcPr>
            <w:tcW w:w="210" w:type="dxa"/>
            <w:tcBorders/>
          </w:tcPr>
          <w:p>
            <w:pPr>
              <w:pStyle w:val="Normal"/>
              <w:spacing w:before="120" w:after="120"/>
              <w:rPr/>
            </w:pPr>
            <w:r>
              <w:rPr/>
            </w:r>
          </w:p>
        </w:tc>
      </w:tr>
    </w:tbl>
    <w:p>
      <w:pPr>
        <w:pStyle w:val="Normal"/>
        <w:tabs>
          <w:tab w:val="clear" w:pos="709"/>
          <w:tab w:val="left" w:pos="1305" w:leader="none"/>
        </w:tabs>
        <w:ind w:hanging="0"/>
        <w:rPr>
          <w:rFonts w:eastAsia="Arial" w:cs="Arial"/>
          <w:sz w:val="24"/>
          <w:szCs w:val="24"/>
        </w:rPr>
      </w:pPr>
      <w:r>
        <w:rPr>
          <w:rFonts w:eastAsia="Arial" w:cs="Arial"/>
          <w:sz w:val="24"/>
          <w:szCs w:val="24"/>
        </w:rPr>
      </w:r>
    </w:p>
    <w:p>
      <w:pPr>
        <w:pStyle w:val="Normal"/>
        <w:widowControl/>
        <w:spacing w:beforeAutospacing="1" w:afterAutospacing="1"/>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p>
      <w:pPr>
        <w:pStyle w:val="Normal"/>
        <w:tabs>
          <w:tab w:val="clear" w:pos="709"/>
          <w:tab w:val="left" w:pos="1305" w:leader="none"/>
        </w:tabs>
        <w:jc w:val="center"/>
        <w:rPr>
          <w:rFonts w:eastAsia="Arial" w:cs="Arial"/>
          <w:sz w:val="24"/>
          <w:szCs w:val="24"/>
        </w:rPr>
      </w:pPr>
      <w:r>
        <w:rPr>
          <w:rFonts w:eastAsia="Arial" w:cs="Arial"/>
          <w:sz w:val="24"/>
          <w:szCs w:val="24"/>
        </w:rPr>
      </w:r>
    </w:p>
    <w:p>
      <w:pPr>
        <w:pStyle w:val="Normal"/>
        <w:widowControl/>
        <w:spacing w:before="0" w:after="0"/>
        <w:ind w:hanging="0"/>
        <w:jc w:val="left"/>
        <w:textAlignment w:val="auto"/>
        <w:rPr>
          <w:rFonts w:eastAsia="Arial" w:cs="Arial"/>
          <w:sz w:val="24"/>
          <w:szCs w:val="24"/>
        </w:rPr>
      </w:pPr>
      <w:r>
        <w:rPr>
          <w:rFonts w:eastAsia="Arial" w:cs="Arial"/>
          <w:sz w:val="24"/>
          <w:szCs w:val="24"/>
        </w:rPr>
      </w:r>
      <w:r>
        <w:br w:type="page"/>
      </w:r>
    </w:p>
    <w:p>
      <w:pPr>
        <w:pStyle w:val="Normal"/>
        <w:tabs>
          <w:tab w:val="clear" w:pos="709"/>
          <w:tab w:val="left" w:pos="1305" w:leader="none"/>
        </w:tabs>
        <w:spacing w:before="0" w:after="120"/>
        <w:jc w:val="center"/>
        <w:rPr>
          <w:rFonts w:eastAsia="Arial" w:cs="Arial"/>
          <w:sz w:val="24"/>
          <w:szCs w:val="24"/>
        </w:rPr>
      </w:pPr>
      <w:r>
        <w:rPr>
          <w:rFonts w:eastAsia="Arial" w:cs="Arial"/>
          <w:sz w:val="24"/>
          <w:szCs w:val="24"/>
        </w:rPr>
        <mc:AlternateContent>
          <mc:Choice Requires="wps">
            <w:drawing>
              <wp:anchor behindDoc="0" distT="0" distB="0" distL="0" distR="0" simplePos="0" locked="0" layoutInCell="0" allowOverlap="1" relativeHeight="61" wp14:anchorId="4DA77109">
                <wp:simplePos x="0" y="0"/>
                <wp:positionH relativeFrom="margin">
                  <wp:align>left</wp:align>
                </wp:positionH>
                <wp:positionV relativeFrom="paragraph">
                  <wp:posOffset>-80010</wp:posOffset>
                </wp:positionV>
                <wp:extent cx="7058025" cy="5563235"/>
                <wp:effectExtent l="0" t="0" r="0" b="0"/>
                <wp:wrapNone/>
                <wp:docPr id="81" name="Рисунок 73772" descr="C:\Users\E.Khozikov\Desktop\Утвержденные цены(тарифы) на 2024 год Квадра-001.jpg"/>
                <a:graphic xmlns:a="http://schemas.openxmlformats.org/drawingml/2006/main">
                  <a:graphicData uri="http://schemas.openxmlformats.org/drawingml/2006/picture">
                    <pic:pic xmlns:pic="http://schemas.openxmlformats.org/drawingml/2006/picture">
                      <pic:nvPicPr>
                        <pic:cNvPr id="82" name="Рисунок 73772" descr="C:\Users\E.Khozikov\Desktop\Утвержденные цены(тарифы) на 2024 год Квадра-001.jpg"/>
                        <pic:cNvPicPr/>
                      </pic:nvPicPr>
                      <pic:blipFill>
                        <a:blip r:embed="rId174">
                          <a:extLst>
                            <a:ext uri="{BEBA8EAE-BF5A-486C-A8C5-ECC9F3942E4B}">
                              <a14:imgProps xmlns:a14="http://schemas.microsoft.com/office/drawing/2010/main">
                                <a14:imgLayer r:embed="rId175">
                                  <a14:imgEffect>
                                    <a14:brightnessContrast contrast="-40000"/>
                                  </a14:imgEffect>
                                </a14:imgLayer>
                              </a14:imgProps>
                            </a:ext>
                          </a:extLst>
                        </a:blip>
                        <a:stretch/>
                      </pic:blipFill>
                      <pic:spPr>
                        <a:xfrm>
                          <a:off x="0" y="0"/>
                          <a:ext cx="7058160" cy="5563080"/>
                        </a:xfrm>
                        <a:prstGeom prst="rect">
                          <a:avLst/>
                        </a:prstGeom>
                        <a:noFill/>
                        <a:ln w="0">
                          <a:noFill/>
                        </a:ln>
                      </pic:spPr>
                    </pic:pic>
                  </a:graphicData>
                </a:graphic>
              </wp:anchor>
            </w:drawing>
          </mc:Choice>
          <mc:Fallback>
            <w:pict>
              <v:shape id="shape_0" ID="Рисунок 73772" stroked="f" o:allowincell="f" style="position:absolute;margin-left:0pt;margin-top:-6.3pt;width:555.7pt;height:438pt;mso-wrap-style:none;v-text-anchor:middle;mso-position-horizontal:left;mso-position-horizontal-relative:margin" wp14:anchorId="4DA77109" type="_x0000_t75">
                <v:imagedata r:id="rId176" o:detectmouseclick="t"/>
                <v:stroke color="#3465a4" joinstyle="round" endcap="flat"/>
                <w10:wrap type="none"/>
              </v:shape>
            </w:pict>
          </mc:Fallback>
        </mc:AlternateContent>
      </w:r>
    </w:p>
    <w:p>
      <w:pPr>
        <w:sectPr>
          <w:headerReference w:type="default" r:id="rId177"/>
          <w:headerReference w:type="first" r:id="rId178"/>
          <w:footerReference w:type="default" r:id="rId179"/>
          <w:footerReference w:type="first" r:id="rId180"/>
          <w:type w:val="nextPage"/>
          <w:pgSz w:orient="landscape" w:w="16838" w:h="11906"/>
          <w:pgMar w:left="1134" w:right="851" w:gutter="0" w:header="510" w:top="1701" w:footer="692" w:bottom="1134"/>
          <w:pgNumType w:fmt="decimal"/>
          <w:formProt w:val="false"/>
          <w:textDirection w:val="lrTb"/>
          <w:docGrid w:type="default" w:linePitch="360" w:charSpace="0"/>
        </w:sectPr>
        <w:pStyle w:val="Normal"/>
        <w:widowControl/>
        <w:spacing w:before="0" w:after="0"/>
        <w:ind w:hanging="0"/>
        <w:jc w:val="left"/>
        <w:textAlignment w:val="auto"/>
        <w:rPr>
          <w:rFonts w:eastAsia="Arial" w:cs="Arial"/>
          <w:sz w:val="24"/>
          <w:szCs w:val="24"/>
        </w:rPr>
      </w:pPr>
      <w:r>
        <w:rPr>
          <w:rFonts w:eastAsia="Arial" w:cs="Arial"/>
          <w:sz w:val="24"/>
          <w:szCs w:val="24"/>
        </w:rPr>
      </w:r>
      <w:r>
        <w:br w:type="page"/>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Из представленной информации видно, что МУП «Калугатеплосеть» г. Калуги осуществляет:</w:t>
      </w:r>
    </w:p>
    <w:p>
      <w:pPr>
        <w:pStyle w:val="Normal"/>
        <w:numPr>
          <w:ilvl w:val="0"/>
          <w:numId w:val="35"/>
        </w:numPr>
        <w:tabs>
          <w:tab w:val="clear" w:pos="709"/>
          <w:tab w:val="left" w:pos="993" w:leader="none"/>
        </w:tabs>
        <w:spacing w:lineRule="auto" w:line="360" w:before="120" w:after="0"/>
        <w:ind w:firstLine="709" w:left="0" w:right="-1"/>
        <w:rPr>
          <w:rFonts w:eastAsia="Arial" w:cs="Arial"/>
          <w:spacing w:val="-4"/>
          <w:sz w:val="24"/>
          <w:szCs w:val="24"/>
        </w:rPr>
      </w:pPr>
      <w:r>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pPr>
        <w:pStyle w:val="Normal"/>
        <w:numPr>
          <w:ilvl w:val="0"/>
          <w:numId w:val="35"/>
        </w:numPr>
        <w:tabs>
          <w:tab w:val="clear" w:pos="709"/>
          <w:tab w:val="left" w:pos="993" w:leader="none"/>
        </w:tabs>
        <w:spacing w:lineRule="auto" w:line="360" w:before="120" w:after="0"/>
        <w:ind w:firstLine="709" w:left="0" w:right="-1"/>
        <w:rPr>
          <w:rFonts w:eastAsia="Arial" w:cs="Arial"/>
          <w:spacing w:val="-4"/>
          <w:sz w:val="24"/>
          <w:szCs w:val="24"/>
        </w:rPr>
      </w:pPr>
      <w:r>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pPr>
        <w:pStyle w:val="Normal"/>
        <w:numPr>
          <w:ilvl w:val="0"/>
          <w:numId w:val="35"/>
        </w:numPr>
        <w:tabs>
          <w:tab w:val="clear" w:pos="709"/>
          <w:tab w:val="left" w:pos="993" w:leader="none"/>
        </w:tabs>
        <w:spacing w:lineRule="auto" w:line="360" w:before="120" w:after="0"/>
        <w:ind w:firstLine="709" w:left="0" w:right="-1"/>
        <w:rPr/>
      </w:pPr>
      <w:r>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pPr>
        <w:pStyle w:val="Normal"/>
        <w:tabs>
          <w:tab w:val="clear" w:pos="709"/>
          <w:tab w:val="left" w:pos="993" w:leader="none"/>
        </w:tabs>
        <w:spacing w:lineRule="auto" w:line="360" w:before="120" w:after="0"/>
        <w:ind w:firstLine="709" w:right="-1"/>
        <w:rPr>
          <w:rFonts w:eastAsia="Arial" w:cs="Arial"/>
          <w:spacing w:val="-4"/>
          <w:sz w:val="24"/>
          <w:szCs w:val="24"/>
        </w:rPr>
      </w:pPr>
      <w:r>
        <w:rPr>
          <w:rFonts w:eastAsia="Arial" w:cs="Arial"/>
          <w:spacing w:val="-4"/>
          <w:sz w:val="24"/>
          <w:szCs w:val="24"/>
        </w:rPr>
        <w:t>МУП «Калугатеплосеть» г. Калуги осуществляет   оказание услуг по соглашению сторон с потребителями, в случае, когда к источнику тепловой энергии присоединен единственный потребитель. При этом тарифы для данного источника регулированию не подлежат. С 2025 года МУП «Калугатеплосеть» заключаеть договоры по соглашению сторон с потребителями от источников, расположенных по следующим адресам:</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ул. Дорожная, 25;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ул. Полесская, 3;</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пр-д Юрия Круглова, 3</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ОЛ Белка;</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Калуга-Бор, 15;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Грабцевское шоссе, 115 стр. 21;</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Грабцевское шоссе, 115;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Ермоловская,96</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Ленина, 60 а;</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Пролетарская, 111;</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Советская, 3 б;</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д.Лихун, ул. Молодежная, 58.</w:t>
      </w:r>
    </w:p>
    <w:p>
      <w:pPr>
        <w:pStyle w:val="Normal"/>
        <w:tabs>
          <w:tab w:val="clear" w:pos="709"/>
          <w:tab w:val="left" w:pos="993" w:leader="none"/>
        </w:tabs>
        <w:spacing w:before="0" w:after="0"/>
        <w:ind w:firstLine="709"/>
        <w:rPr/>
      </w:pPr>
      <w:r>
        <w:rPr/>
      </w:r>
    </w:p>
    <w:p>
      <w:pPr>
        <w:pStyle w:val="Normal"/>
        <w:tabs>
          <w:tab w:val="clear" w:pos="709"/>
          <w:tab w:val="left" w:pos="993" w:leader="none"/>
        </w:tabs>
        <w:spacing w:lineRule="auto" w:line="360" w:before="120" w:after="0"/>
        <w:ind w:firstLine="709" w:right="-1"/>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p>
    <w:p>
      <w:pPr>
        <w:pStyle w:val="Normal"/>
        <w:tabs>
          <w:tab w:val="clear" w:pos="709"/>
          <w:tab w:val="left" w:pos="993" w:leader="none"/>
        </w:tabs>
        <w:spacing w:lineRule="auto" w:line="360" w:before="120" w:after="0"/>
        <w:ind w:firstLine="709" w:right="-1"/>
        <w:rPr>
          <w:rFonts w:eastAsia="Arial" w:cs="Arial"/>
          <w:spacing w:val="-4"/>
          <w:sz w:val="24"/>
          <w:szCs w:val="24"/>
        </w:rPr>
      </w:pPr>
      <w:r>
        <w:rPr>
          <w:rFonts w:eastAsia="Arial" w:cs="Arial"/>
          <w:spacing w:val="-4"/>
          <w:sz w:val="24"/>
          <w:szCs w:val="24"/>
        </w:rPr>
      </w:r>
    </w:p>
    <w:p>
      <w:pPr>
        <w:pStyle w:val="Normal"/>
        <w:tabs>
          <w:tab w:val="clear" w:pos="709"/>
          <w:tab w:val="left" w:pos="993" w:leader="none"/>
        </w:tabs>
        <w:spacing w:lineRule="auto" w:line="360" w:before="120" w:after="0"/>
        <w:ind w:hanging="0" w:left="709" w:right="-1"/>
        <w:rPr>
          <w:b/>
        </w:rPr>
      </w:pPr>
      <w:bookmarkStart w:id="221" w:name="_Toc71036140"/>
      <w:r>
        <w:rPr>
          <w:b/>
        </w:rPr>
        <w:t>Структура тарифов, установленных на момент разработки схемы теплоснабжения</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Тарифы на услуги теплоснабжения формируются следующим образом:</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АО «Квадра»- «Калужская генерация» формировало тариф на производство тепловой энергии в режиме комбинированной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АО «Квадра»- «Калужская генерация». Последний формировался общий для филиала АО «Квадра»- «Калужская генерация» (Производственное подразделение «Калужская ТЭЦ» филиала АО «Квадра»- «Калужская генерация» тариф на производство и передачу тепловой энергии.</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ПАО «Калужский турбинный завод» аналогично АО «Квадра» - «Калужская генерация»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МУП «Калугатеплосеть» г. Калуги формировало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pPr>
        <w:pStyle w:val="Heading2"/>
        <w:numPr>
          <w:ilvl w:val="0"/>
          <w:numId w:val="0"/>
        </w:numPr>
        <w:ind w:hanging="0" w:left="360"/>
        <w:rPr>
          <w:b/>
        </w:rPr>
      </w:pPr>
      <w:bookmarkStart w:id="222" w:name="_Toc71036140"/>
      <w:bookmarkStart w:id="223" w:name="_Toc132981706"/>
      <w:r>
        <w:rPr>
          <w:b/>
        </w:rPr>
        <w:t>Плата за подключение к системе теплоснабжения</w:t>
      </w:r>
      <w:bookmarkEnd w:id="222"/>
      <w:bookmarkEnd w:id="223"/>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r>
    </w:p>
    <w:p>
      <w:pPr>
        <w:pStyle w:val="Normal"/>
        <w:spacing w:lineRule="auto" w:line="360" w:before="120" w:after="0"/>
        <w:ind w:firstLine="709" w:right="-1"/>
        <w:rPr>
          <w:sz w:val="24"/>
          <w:szCs w:val="24"/>
        </w:rPr>
      </w:pPr>
      <w:bookmarkStart w:id="224" w:name="_Toc71036141"/>
      <w:r>
        <w:rPr>
          <w:rFonts w:eastAsia="Arial" w:cs="Arial"/>
          <w:spacing w:val="-4"/>
          <w:sz w:val="24"/>
          <w:szCs w:val="24"/>
        </w:rPr>
        <w:t xml:space="preserve">На 2025г.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18 декабря 2023г. № 395- РК «Об установлении платы за подключение (технологическое присоединение) в расчете </w:t>
      </w:r>
      <w:r>
        <w:rPr>
          <w:sz w:val="24"/>
          <w:szCs w:val="24"/>
        </w:rPr>
        <w:t>на единицу мощности подключаемой тепловой нагрузки к системе теплоснабжения».</w:t>
      </w:r>
    </w:p>
    <w:p>
      <w:pPr>
        <w:pStyle w:val="Normal"/>
        <w:spacing w:lineRule="auto" w:line="360" w:before="120" w:after="0"/>
        <w:ind w:firstLine="709" w:right="-1"/>
        <w:rPr>
          <w:color w:val="FF0000"/>
          <w:sz w:val="24"/>
          <w:szCs w:val="24"/>
        </w:rPr>
      </w:pPr>
      <w:r>
        <w:rPr>
          <w:color w:val="FF0000"/>
          <w:sz w:val="24"/>
          <w:szCs w:val="24"/>
        </w:rPr>
      </w:r>
    </w:p>
    <w:p>
      <w:pPr>
        <w:pStyle w:val="Normal"/>
        <w:spacing w:lineRule="auto" w:line="360" w:before="120" w:after="0"/>
        <w:ind w:firstLine="709" w:right="-1"/>
        <w:rPr>
          <w:color w:val="FF0000"/>
          <w:sz w:val="24"/>
          <w:szCs w:val="24"/>
        </w:rPr>
      </w:pPr>
      <w:r>
        <w:rPr>
          <w:color w:val="FF0000"/>
          <w:sz w:val="24"/>
          <w:szCs w:val="24"/>
        </w:rPr>
      </w:r>
    </w:p>
    <w:p>
      <w:pPr>
        <w:pStyle w:val="Normal"/>
        <w:ind w:hanging="0"/>
        <w:jc w:val="left"/>
        <w:rPr>
          <w:rFonts w:cs="Arial"/>
          <w:b/>
          <w:bCs/>
          <w:sz w:val="20"/>
          <w:szCs w:val="20"/>
        </w:rPr>
      </w:pPr>
      <w:r>
        <w:rPr>
          <w:rFonts w:cs="Arial"/>
          <w:b/>
          <w:bCs/>
          <w:sz w:val="20"/>
          <w:szCs w:val="20"/>
        </w:rPr>
        <w:t>Таблица 14.12– Плата за подключение к системе теплоснабжения тыс. руб./Гкал/ч, без учёта НДС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74"/>
        <w:gridCol w:w="5660"/>
        <w:gridCol w:w="2637"/>
      </w:tblGrid>
      <w:tr>
        <w:trPr>
          <w:trHeight w:val="301"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b/>
                <w:bCs/>
                <w:sz w:val="20"/>
                <w:szCs w:val="20"/>
              </w:rPr>
            </w:pPr>
            <w:r>
              <w:rPr>
                <w:rFonts w:cs="Arial"/>
                <w:b/>
                <w:bCs/>
                <w:sz w:val="20"/>
                <w:szCs w:val="20"/>
              </w:rPr>
              <w:t xml:space="preserve">№ </w:t>
            </w:r>
            <w:r>
              <w:rPr>
                <w:rFonts w:cs="Arial"/>
                <w:b/>
                <w:bCs/>
                <w:sz w:val="20"/>
                <w:szCs w:val="20"/>
              </w:rPr>
              <w:t>п/п</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Наименование</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Значение</w:t>
            </w:r>
          </w:p>
        </w:tc>
      </w:tr>
      <w:tr>
        <w:trPr>
          <w:trHeight w:val="60"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b/>
                <w:bCs/>
                <w:sz w:val="20"/>
                <w:szCs w:val="20"/>
              </w:rPr>
            </w:pPr>
            <w:r>
              <w:rPr>
                <w:rFonts w:cs="Arial"/>
                <w:b/>
                <w:bCs/>
                <w:sz w:val="20"/>
                <w:szCs w:val="20"/>
              </w:rPr>
              <w:t>1</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2</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3</w:t>
            </w:r>
          </w:p>
        </w:tc>
      </w:tr>
      <w:tr>
        <w:trPr>
          <w:trHeight w:val="375" w:hRule="atLeast"/>
        </w:trPr>
        <w:tc>
          <w:tcPr>
            <w:tcW w:w="907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Плата за подключение объектов заявителей, подключаемая тепловая нагрузка которых более 0,1 Гкал/час в том числе:</w:t>
            </w:r>
          </w:p>
        </w:tc>
      </w:tr>
      <w:tr>
        <w:trPr>
          <w:trHeight w:val="60"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1</w:t>
            </w:r>
          </w:p>
        </w:tc>
        <w:tc>
          <w:tcPr>
            <w:tcW w:w="566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120" w:after="120"/>
              <w:ind w:hanging="0"/>
              <w:rPr>
                <w:rFonts w:cs="Arial"/>
                <w:sz w:val="20"/>
                <w:szCs w:val="20"/>
              </w:rPr>
            </w:pPr>
            <w:r>
              <w:rPr>
                <w:rFonts w:cs="Arial"/>
                <w:sz w:val="20"/>
                <w:szCs w:val="20"/>
              </w:rPr>
              <w:t>Расходы на проведение мероприятий по подключению объектов заявителей (П</w:t>
            </w:r>
            <w:r>
              <w:rPr>
                <w:rFonts w:cs="Arial"/>
                <w:sz w:val="20"/>
                <w:szCs w:val="20"/>
                <w:vertAlign w:val="subscript"/>
              </w:rPr>
              <w:t>1</w:t>
            </w:r>
            <w:r>
              <w:rPr>
                <w:rFonts w:cs="Arial"/>
                <w:sz w:val="20"/>
                <w:szCs w:val="20"/>
              </w:rPr>
              <w:t>)</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432,080</w:t>
            </w:r>
          </w:p>
        </w:tc>
      </w:tr>
      <w:tr>
        <w:trPr>
          <w:trHeight w:val="1269"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2</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r>
        <w:trPr>
          <w:trHeight w:val="866"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3</w:t>
            </w:r>
          </w:p>
        </w:tc>
        <w:tc>
          <w:tcPr>
            <w:tcW w:w="566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120" w:after="120"/>
              <w:ind w:hanging="0"/>
              <w:rPr>
                <w:rFonts w:cs="Arial"/>
                <w:sz w:val="20"/>
                <w:szCs w:val="20"/>
              </w:rPr>
            </w:pPr>
            <w:r>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Pr>
                <w:rFonts w:cs="Arial"/>
                <w:sz w:val="20"/>
                <w:szCs w:val="20"/>
                <w:vertAlign w:val="subscript"/>
              </w:rPr>
              <w:t>2.2</w:t>
            </w:r>
            <w:r>
              <w:rPr>
                <w:rFonts w:cs="Arial"/>
                <w:sz w:val="20"/>
                <w:szCs w:val="20"/>
              </w:rPr>
              <w:t>)</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r>
        <w:trPr>
          <w:trHeight w:val="289"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4</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Налог на прибыль</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bl>
    <w:p>
      <w:pPr>
        <w:pStyle w:val="Normal"/>
        <w:spacing w:lineRule="auto" w:line="360" w:before="120" w:after="0"/>
        <w:ind w:firstLine="709" w:right="-1"/>
        <w:rPr>
          <w:sz w:val="24"/>
          <w:szCs w:val="24"/>
        </w:rPr>
      </w:pPr>
      <w:r>
        <w:rPr>
          <w:rFonts w:eastAsia="Arial" w:cs="Arial"/>
          <w:spacing w:val="-4"/>
          <w:sz w:val="24"/>
          <w:szCs w:val="24"/>
        </w:rPr>
        <w:t xml:space="preserve">На 2025г.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27 ноября 2023г. № 214- РК «Об установлении платы за подключение (технологическое присоединение) в расчете </w:t>
      </w:r>
      <w:r>
        <w:rPr>
          <w:sz w:val="24"/>
          <w:szCs w:val="24"/>
        </w:rPr>
        <w:t>на единицу мощности подключаемой тепловой нагрузки к системе теплоснабжения».</w:t>
      </w:r>
    </w:p>
    <w:p>
      <w:pPr>
        <w:pStyle w:val="Normal"/>
        <w:ind w:firstLine="567" w:left="927"/>
        <w:jc w:val="left"/>
        <w:rPr>
          <w:rFonts w:cs="Arial"/>
          <w:b/>
          <w:bCs/>
          <w:sz w:val="20"/>
          <w:szCs w:val="20"/>
        </w:rPr>
      </w:pPr>
      <w:r>
        <w:rPr>
          <w:rFonts w:cs="Arial"/>
          <w:b/>
          <w:bCs/>
          <w:sz w:val="20"/>
          <w:szCs w:val="20"/>
        </w:rPr>
        <w:t xml:space="preserve">Таблица 14.13. – Плата за подключение к системе теплоснабжения </w:t>
      </w:r>
    </w:p>
    <w:p>
      <w:pPr>
        <w:pStyle w:val="Normal"/>
        <w:ind w:firstLine="567" w:left="927"/>
        <w:jc w:val="right"/>
        <w:rPr>
          <w:rFonts w:cs="Arial"/>
          <w:b/>
          <w:bCs/>
          <w:sz w:val="20"/>
          <w:szCs w:val="20"/>
        </w:rPr>
      </w:pPr>
      <w:r>
        <w:rPr>
          <w:rFonts w:cs="Arial"/>
          <w:b/>
          <w:bCs/>
          <w:sz w:val="20"/>
          <w:szCs w:val="20"/>
        </w:rPr>
        <w:t>тыс. руб./Гкал/ч, без учёта НДС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74"/>
        <w:gridCol w:w="5660"/>
        <w:gridCol w:w="2637"/>
      </w:tblGrid>
      <w:tr>
        <w:trPr>
          <w:trHeight w:val="301"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b/>
                <w:bCs/>
                <w:sz w:val="20"/>
                <w:szCs w:val="20"/>
              </w:rPr>
            </w:pPr>
            <w:r>
              <w:rPr>
                <w:rFonts w:cs="Arial"/>
                <w:b/>
                <w:bCs/>
                <w:sz w:val="20"/>
                <w:szCs w:val="20"/>
              </w:rPr>
              <w:t xml:space="preserve">№ </w:t>
            </w:r>
            <w:r>
              <w:rPr>
                <w:rFonts w:cs="Arial"/>
                <w:b/>
                <w:bCs/>
                <w:sz w:val="20"/>
                <w:szCs w:val="20"/>
              </w:rPr>
              <w:t>п/п</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Наименование</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Значение</w:t>
            </w:r>
          </w:p>
        </w:tc>
      </w:tr>
      <w:tr>
        <w:trPr>
          <w:trHeight w:val="60"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b/>
                <w:bCs/>
                <w:sz w:val="20"/>
                <w:szCs w:val="20"/>
              </w:rPr>
            </w:pPr>
            <w:r>
              <w:rPr>
                <w:rFonts w:cs="Arial"/>
                <w:b/>
                <w:bCs/>
                <w:sz w:val="20"/>
                <w:szCs w:val="20"/>
              </w:rPr>
              <w:t>1</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2</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b/>
                <w:bCs/>
                <w:sz w:val="20"/>
                <w:szCs w:val="20"/>
              </w:rPr>
            </w:pPr>
            <w:r>
              <w:rPr>
                <w:rFonts w:cs="Arial"/>
                <w:b/>
                <w:bCs/>
                <w:sz w:val="20"/>
                <w:szCs w:val="20"/>
              </w:rPr>
              <w:t>3</w:t>
            </w:r>
          </w:p>
        </w:tc>
      </w:tr>
      <w:tr>
        <w:trPr>
          <w:trHeight w:val="375" w:hRule="atLeast"/>
        </w:trPr>
        <w:tc>
          <w:tcPr>
            <w:tcW w:w="907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Плата за подключение объектов заявителей, подключаемая тепловая нагрузка которых не превышает 0,1 Гкал/час в том числе:</w:t>
            </w:r>
          </w:p>
        </w:tc>
      </w:tr>
      <w:tr>
        <w:trPr>
          <w:trHeight w:val="60"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1</w:t>
            </w:r>
          </w:p>
        </w:tc>
        <w:tc>
          <w:tcPr>
            <w:tcW w:w="566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120" w:after="120"/>
              <w:ind w:hanging="0"/>
              <w:rPr>
                <w:rFonts w:cs="Arial"/>
                <w:sz w:val="20"/>
                <w:szCs w:val="20"/>
              </w:rPr>
            </w:pPr>
            <w:r>
              <w:rPr>
                <w:rFonts w:cs="Arial"/>
                <w:sz w:val="20"/>
                <w:szCs w:val="20"/>
              </w:rPr>
              <w:t>Расходы на проведение мероприятий по подключению объектов заявителей (П</w:t>
            </w:r>
            <w:r>
              <w:rPr>
                <w:rFonts w:cs="Arial"/>
                <w:sz w:val="20"/>
                <w:szCs w:val="20"/>
                <w:vertAlign w:val="subscript"/>
              </w:rPr>
              <w:t>1</w:t>
            </w:r>
            <w:r>
              <w:rPr>
                <w:rFonts w:cs="Arial"/>
                <w:sz w:val="20"/>
                <w:szCs w:val="20"/>
              </w:rPr>
              <w:t>)</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1215,395</w:t>
            </w:r>
          </w:p>
        </w:tc>
      </w:tr>
      <w:tr>
        <w:trPr>
          <w:trHeight w:val="1269"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2</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r>
        <w:trPr>
          <w:trHeight w:val="866"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3</w:t>
            </w:r>
          </w:p>
        </w:tc>
        <w:tc>
          <w:tcPr>
            <w:tcW w:w="566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120" w:after="120"/>
              <w:ind w:hanging="0"/>
              <w:rPr>
                <w:rFonts w:cs="Arial"/>
                <w:sz w:val="20"/>
                <w:szCs w:val="20"/>
              </w:rPr>
            </w:pPr>
            <w:r>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Pr>
                <w:rFonts w:cs="Arial"/>
                <w:sz w:val="20"/>
                <w:szCs w:val="20"/>
                <w:vertAlign w:val="subscript"/>
              </w:rPr>
              <w:t>2.2</w:t>
            </w:r>
            <w:r>
              <w:rPr>
                <w:rFonts w:cs="Arial"/>
                <w:sz w:val="20"/>
                <w:szCs w:val="20"/>
              </w:rPr>
              <w:t>)</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r>
        <w:trPr>
          <w:trHeight w:val="289" w:hRule="atLeast"/>
        </w:trPr>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jc w:val="center"/>
              <w:rPr>
                <w:rFonts w:cs="Arial"/>
                <w:sz w:val="20"/>
                <w:szCs w:val="20"/>
              </w:rPr>
            </w:pPr>
            <w:r>
              <w:rPr>
                <w:rFonts w:cs="Arial"/>
                <w:sz w:val="20"/>
                <w:szCs w:val="20"/>
              </w:rPr>
              <w:t>4</w:t>
            </w:r>
          </w:p>
        </w:tc>
        <w:tc>
          <w:tcPr>
            <w:tcW w:w="56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hanging="0"/>
              <w:rPr>
                <w:rFonts w:cs="Arial"/>
                <w:sz w:val="20"/>
                <w:szCs w:val="20"/>
              </w:rPr>
            </w:pPr>
            <w:r>
              <w:rPr>
                <w:rFonts w:cs="Arial"/>
                <w:sz w:val="20"/>
                <w:szCs w:val="20"/>
              </w:rPr>
              <w:t>Налог на прибыль</w:t>
            </w:r>
          </w:p>
        </w:tc>
        <w:tc>
          <w:tcPr>
            <w:tcW w:w="2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rFonts w:cs="Arial"/>
                <w:sz w:val="20"/>
                <w:szCs w:val="20"/>
              </w:rPr>
            </w:pPr>
            <w:r>
              <w:rPr>
                <w:rFonts w:cs="Arial"/>
                <w:sz w:val="20"/>
                <w:szCs w:val="20"/>
              </w:rPr>
              <w:t>-</w:t>
            </w:r>
          </w:p>
        </w:tc>
      </w:tr>
    </w:tbl>
    <w:p>
      <w:pPr>
        <w:pStyle w:val="Normal"/>
        <w:spacing w:lineRule="auto" w:line="360"/>
        <w:ind w:firstLine="851"/>
        <w:rPr>
          <w:sz w:val="24"/>
          <w:szCs w:val="24"/>
        </w:rPr>
      </w:pPr>
      <w:r>
        <w:rPr>
          <w:sz w:val="24"/>
          <w:szCs w:val="24"/>
        </w:rPr>
        <w:t>В соответствии с Приказом Министерства Конкурентной политики Калужской области, от 07 ноября 2023г. № 106-РК для МУП «Калугатеплосеть»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100 куб. метров в сутки на 2025г.</w:t>
      </w:r>
      <w:bookmarkStart w:id="225" w:name="_GoBack"/>
      <w:bookmarkEnd w:id="225"/>
    </w:p>
    <w:p>
      <w:pPr>
        <w:pStyle w:val="Normal"/>
        <w:jc w:val="left"/>
        <w:rPr>
          <w:rFonts w:cs="Arial"/>
          <w:b/>
          <w:bCs/>
          <w:sz w:val="20"/>
          <w:szCs w:val="20"/>
        </w:rPr>
      </w:pPr>
      <w:r>
        <w:rPr>
          <w:rFonts w:cs="Arial"/>
          <w:b/>
          <w:bCs/>
          <w:sz w:val="20"/>
          <w:szCs w:val="20"/>
        </w:rPr>
        <w:t>Таблица 14.14 – Плата за подключение к централизованной системе горячего водоснабжения</w:t>
      </w:r>
    </w:p>
    <w:tbl>
      <w:tblPr>
        <w:tblW w:w="10060"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992"/>
        <w:gridCol w:w="4655"/>
        <w:gridCol w:w="1839"/>
        <w:gridCol w:w="2573"/>
      </w:tblGrid>
      <w:tr>
        <w:trPr>
          <w:trHeight w:val="773"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 xml:space="preserve">№ </w:t>
            </w:r>
            <w:r>
              <w:rPr>
                <w:sz w:val="20"/>
                <w:szCs w:val="20"/>
              </w:rPr>
              <w:t>п/п</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 xml:space="preserve">Наименование тарифной ставки </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Единица измерения</w:t>
            </w:r>
          </w:p>
        </w:tc>
        <w:tc>
          <w:tcPr>
            <w:tcW w:w="257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sz w:val="20"/>
                <w:szCs w:val="20"/>
              </w:rPr>
            </w:pPr>
            <w:r>
              <w:rPr>
                <w:sz w:val="20"/>
                <w:szCs w:val="20"/>
              </w:rPr>
              <w:t>Период действия тарифов</w:t>
            </w:r>
          </w:p>
          <w:p>
            <w:pPr>
              <w:pStyle w:val="Normal"/>
              <w:jc w:val="center"/>
              <w:rPr>
                <w:sz w:val="20"/>
                <w:szCs w:val="20"/>
              </w:rPr>
            </w:pPr>
            <w:r>
              <w:rPr>
                <w:sz w:val="20"/>
                <w:szCs w:val="20"/>
              </w:rPr>
              <w:t xml:space="preserve">с 01.01.2025 г. </w:t>
            </w:r>
          </w:p>
          <w:p>
            <w:pPr>
              <w:pStyle w:val="Normal"/>
              <w:spacing w:before="120" w:after="120"/>
              <w:jc w:val="center"/>
              <w:rPr>
                <w:sz w:val="20"/>
                <w:szCs w:val="20"/>
              </w:rPr>
            </w:pPr>
            <w:r>
              <w:rPr>
                <w:sz w:val="20"/>
                <w:szCs w:val="20"/>
              </w:rPr>
              <w:t>по 31.12.2025 г.</w:t>
            </w:r>
          </w:p>
        </w:tc>
      </w:tr>
      <w:tr>
        <w:trPr>
          <w:trHeight w:val="249"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rPr>
              <w:t>1</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2</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3</w:t>
            </w:r>
          </w:p>
        </w:tc>
        <w:tc>
          <w:tcPr>
            <w:tcW w:w="2573" w:type="dxa"/>
            <w:tcBorders>
              <w:top w:val="single" w:sz="4" w:space="0" w:color="000000"/>
              <w:left w:val="single" w:sz="4" w:space="0" w:color="000000"/>
              <w:bottom w:val="single" w:sz="4" w:space="0" w:color="000000"/>
              <w:right w:val="single" w:sz="4" w:space="0" w:color="000000"/>
            </w:tcBorders>
          </w:tcPr>
          <w:p>
            <w:pPr>
              <w:pStyle w:val="Normal"/>
              <w:spacing w:before="120" w:after="120"/>
              <w:jc w:val="center"/>
              <w:rPr>
                <w:sz w:val="20"/>
                <w:szCs w:val="20"/>
              </w:rPr>
            </w:pPr>
            <w:r>
              <w:rPr>
                <w:sz w:val="20"/>
                <w:szCs w:val="20"/>
              </w:rPr>
              <w:t>4</w:t>
            </w:r>
          </w:p>
        </w:tc>
      </w:tr>
      <w:tr>
        <w:trPr>
          <w:trHeight w:val="249"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lang w:val="en-US"/>
              </w:rPr>
              <w:t>1.</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Ставка тарифа за подключаемую (технологически присоединяемую) нагрузку, в том числе при наличии дифференциации :</w:t>
            </w:r>
          </w:p>
        </w:tc>
      </w:tr>
      <w:tr>
        <w:trPr>
          <w:trHeight w:val="721"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386"/>
              <w:jc w:val="center"/>
              <w:rPr>
                <w:sz w:val="20"/>
                <w:szCs w:val="20"/>
              </w:rPr>
            </w:pPr>
            <w:r>
              <w:rPr>
                <w:sz w:val="20"/>
                <w:szCs w:val="20"/>
              </w:rPr>
              <w:t>1.1.</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 xml:space="preserve">Мероприятия по подключению с учетом расходов на фактическое присоединение (врезку) </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тыс. руб./ куб. м в сутки</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15,814</w:t>
            </w:r>
          </w:p>
        </w:tc>
      </w:tr>
      <w:tr>
        <w:trPr>
          <w:trHeight w:val="591"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rPr>
              <w:t>1.2.</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Мероприятия по подключению без учета расходов на фактическое присоединение (врезку)</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тыс. руб./ куб. м в сутки</w:t>
            </w:r>
          </w:p>
        </w:tc>
        <w:tc>
          <w:tcPr>
            <w:tcW w:w="257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sz w:val="20"/>
                <w:szCs w:val="20"/>
              </w:rPr>
            </w:pPr>
            <w:r>
              <w:rPr>
                <w:sz w:val="20"/>
                <w:szCs w:val="20"/>
              </w:rPr>
              <w:t>3,484</w:t>
            </w:r>
          </w:p>
        </w:tc>
      </w:tr>
      <w:tr>
        <w:trPr>
          <w:trHeight w:val="939"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386"/>
              <w:jc w:val="center"/>
              <w:rPr>
                <w:sz w:val="20"/>
                <w:szCs w:val="20"/>
              </w:rPr>
            </w:pPr>
            <w:r>
              <w:rPr>
                <w:sz w:val="20"/>
                <w:szCs w:val="20"/>
              </w:rPr>
              <w:t>2.</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Ставка тарифа на протяженность сетей от точки подключения (технологического присоединения) объекта заявителя до точки подключения водопроводных сетей к объектам централизованной системы горячего водоснабжения, в том числе при наличии дифференциации:</w:t>
            </w:r>
          </w:p>
        </w:tc>
      </w:tr>
      <w:tr>
        <w:trPr>
          <w:trHeight w:val="671"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386"/>
              <w:jc w:val="center"/>
              <w:rPr>
                <w:sz w:val="20"/>
                <w:szCs w:val="20"/>
              </w:rPr>
            </w:pPr>
            <w:r>
              <w:rPr>
                <w:sz w:val="20"/>
                <w:szCs w:val="20"/>
              </w:rPr>
              <w:t>2.1.</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Надземная прокладка сетей в двухтрубном исчислении, без устройства водопроводного колодца:</w:t>
            </w:r>
          </w:p>
        </w:tc>
      </w:tr>
      <w:tr>
        <w:trPr>
          <w:trHeight w:val="611"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rPr>
              <w:t>2.1.1.</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диаметр 40 – 70 мм (включительно)</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тыс. руб./км</w:t>
            </w:r>
          </w:p>
        </w:tc>
        <w:tc>
          <w:tcPr>
            <w:tcW w:w="257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sz w:val="20"/>
                <w:szCs w:val="20"/>
              </w:rPr>
            </w:pPr>
            <w:r>
              <w:rPr>
                <w:sz w:val="20"/>
                <w:szCs w:val="20"/>
              </w:rPr>
              <w:t>9470,124</w:t>
            </w:r>
          </w:p>
        </w:tc>
      </w:tr>
      <w:tr>
        <w:trPr>
          <w:trHeight w:val="705"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rPr>
              <w:t>2.2.</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Подземная прокладка сетей в двухтрубном исчислении, с устройством водопроводного колодца, в том числе:</w:t>
            </w:r>
          </w:p>
        </w:tc>
      </w:tr>
      <w:tr>
        <w:trPr>
          <w:trHeight w:val="560"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244"/>
              <w:jc w:val="center"/>
              <w:rPr>
                <w:sz w:val="20"/>
                <w:szCs w:val="20"/>
              </w:rPr>
            </w:pPr>
            <w:r>
              <w:rPr>
                <w:sz w:val="20"/>
                <w:szCs w:val="20"/>
              </w:rPr>
              <w:t>2.2.1.</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канальная прокладка</w:t>
            </w:r>
          </w:p>
        </w:tc>
      </w:tr>
      <w:tr>
        <w:trPr>
          <w:trHeight w:val="549"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102"/>
              <w:jc w:val="center"/>
              <w:rPr>
                <w:sz w:val="20"/>
                <w:szCs w:val="20"/>
              </w:rPr>
            </w:pPr>
            <w:r>
              <w:rPr>
                <w:sz w:val="20"/>
                <w:szCs w:val="20"/>
              </w:rPr>
              <w:t>2.2.1.1.</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диаметр 40 – 70 мм (включительно)</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тыс. руб./км</w:t>
            </w:r>
          </w:p>
        </w:tc>
        <w:tc>
          <w:tcPr>
            <w:tcW w:w="257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sz w:val="20"/>
                <w:szCs w:val="20"/>
              </w:rPr>
            </w:pPr>
            <w:r>
              <w:rPr>
                <w:sz w:val="20"/>
                <w:szCs w:val="20"/>
              </w:rPr>
              <w:t>13986,169</w:t>
            </w:r>
          </w:p>
        </w:tc>
      </w:tr>
      <w:tr>
        <w:trPr>
          <w:trHeight w:val="561"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102"/>
              <w:jc w:val="center"/>
              <w:rPr>
                <w:sz w:val="20"/>
                <w:szCs w:val="20"/>
              </w:rPr>
            </w:pPr>
            <w:r>
              <w:rPr>
                <w:sz w:val="20"/>
                <w:szCs w:val="20"/>
              </w:rPr>
              <w:t>2.2.2.</w:t>
            </w:r>
          </w:p>
        </w:tc>
        <w:tc>
          <w:tcPr>
            <w:tcW w:w="906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бесканальная прокладка</w:t>
            </w:r>
          </w:p>
        </w:tc>
      </w:tr>
      <w:tr>
        <w:trPr>
          <w:trHeight w:val="548" w:hRule="atLeast"/>
        </w:trPr>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ind w:firstLine="102"/>
              <w:jc w:val="center"/>
              <w:rPr>
                <w:sz w:val="20"/>
                <w:szCs w:val="20"/>
              </w:rPr>
            </w:pPr>
            <w:r>
              <w:rPr>
                <w:sz w:val="20"/>
                <w:szCs w:val="20"/>
              </w:rPr>
              <w:t>2.2.2.1.</w:t>
            </w:r>
          </w:p>
        </w:tc>
        <w:tc>
          <w:tcPr>
            <w:tcW w:w="46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sz w:val="20"/>
                <w:szCs w:val="20"/>
              </w:rPr>
            </w:pPr>
            <w:r>
              <w:rPr>
                <w:sz w:val="20"/>
                <w:szCs w:val="20"/>
              </w:rPr>
              <w:t>диаметр 40 – 70 мм (включительно)</w:t>
            </w:r>
          </w:p>
        </w:tc>
        <w:tc>
          <w:tcPr>
            <w:tcW w:w="1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jc w:val="center"/>
              <w:rPr>
                <w:sz w:val="20"/>
                <w:szCs w:val="20"/>
              </w:rPr>
            </w:pPr>
            <w:r>
              <w:rPr>
                <w:sz w:val="20"/>
                <w:szCs w:val="20"/>
              </w:rPr>
              <w:t>тыс. руб./км</w:t>
            </w:r>
          </w:p>
        </w:tc>
        <w:tc>
          <w:tcPr>
            <w:tcW w:w="2573" w:type="dxa"/>
            <w:tcBorders>
              <w:top w:val="single" w:sz="4" w:space="0" w:color="000000"/>
              <w:left w:val="single" w:sz="4" w:space="0" w:color="000000"/>
              <w:bottom w:val="single" w:sz="4" w:space="0" w:color="000000"/>
              <w:right w:val="single" w:sz="4" w:space="0" w:color="000000"/>
            </w:tcBorders>
            <w:vAlign w:val="center"/>
          </w:tcPr>
          <w:p>
            <w:pPr>
              <w:pStyle w:val="Normal"/>
              <w:spacing w:before="120" w:after="120"/>
              <w:jc w:val="center"/>
              <w:rPr>
                <w:sz w:val="20"/>
                <w:szCs w:val="20"/>
              </w:rPr>
            </w:pPr>
            <w:r>
              <w:rPr>
                <w:sz w:val="20"/>
                <w:szCs w:val="20"/>
              </w:rPr>
              <w:t>8629,263</w:t>
            </w:r>
          </w:p>
        </w:tc>
      </w:tr>
    </w:tbl>
    <w:p>
      <w:pPr>
        <w:pStyle w:val="Normal"/>
        <w:jc w:val="left"/>
        <w:rPr>
          <w:rFonts w:cs="Arial"/>
          <w:b/>
          <w:bCs/>
          <w:sz w:val="20"/>
          <w:szCs w:val="20"/>
        </w:rPr>
      </w:pPr>
      <w:r>
        <w:rPr>
          <w:rFonts w:cs="Arial"/>
          <w:b/>
          <w:bCs/>
          <w:sz w:val="20"/>
          <w:szCs w:val="20"/>
        </w:rPr>
      </w:r>
    </w:p>
    <w:p>
      <w:pPr>
        <w:pStyle w:val="Normal"/>
        <w:spacing w:lineRule="auto" w:line="360"/>
        <w:ind w:firstLine="851"/>
        <w:rPr>
          <w:sz w:val="24"/>
          <w:szCs w:val="24"/>
        </w:rPr>
      </w:pPr>
      <w:r>
        <w:rPr>
          <w:sz w:val="24"/>
          <w:szCs w:val="24"/>
        </w:rPr>
      </w:r>
    </w:p>
    <w:p>
      <w:pPr>
        <w:pStyle w:val="Normal"/>
        <w:spacing w:lineRule="auto" w:line="360"/>
        <w:ind w:firstLine="851"/>
        <w:rPr>
          <w:sz w:val="24"/>
          <w:szCs w:val="24"/>
        </w:rPr>
      </w:pPr>
      <w:r>
        <w:rPr>
          <w:sz w:val="24"/>
          <w:szCs w:val="24"/>
        </w:rPr>
      </w:r>
    </w:p>
    <w:p>
      <w:pPr>
        <w:pStyle w:val="Normal"/>
        <w:spacing w:lineRule="auto" w:line="360"/>
        <w:ind w:firstLine="851"/>
        <w:rPr>
          <w:sz w:val="24"/>
          <w:szCs w:val="24"/>
        </w:rPr>
      </w:pPr>
      <w:r>
        <w:rPr>
          <w:sz w:val="24"/>
          <w:szCs w:val="24"/>
        </w:rPr>
      </w:r>
    </w:p>
    <w:p>
      <w:pPr>
        <w:pStyle w:val="Normal"/>
        <w:numPr>
          <w:ilvl w:val="1"/>
          <w:numId w:val="34"/>
        </w:numPr>
        <w:suppressAutoHyphens w:val="true"/>
        <w:spacing w:before="240" w:after="120"/>
        <w:ind w:hanging="567" w:left="851"/>
        <w:outlineLvl w:val="1"/>
        <w:rPr>
          <w:rFonts w:ascii="Arial Black" w:hAnsi="Arial Black"/>
          <w:b/>
          <w:spacing w:val="-10"/>
          <w:kern w:val="2"/>
          <w:szCs w:val="24"/>
          <w:lang w:eastAsia="ru-RU"/>
        </w:rPr>
      </w:pPr>
      <w:bookmarkStart w:id="226" w:name="_Toc71036141"/>
      <w:bookmarkStart w:id="227" w:name="_Toc132981707"/>
      <w:r>
        <w:rPr>
          <w:rFonts w:ascii="Arial Black" w:hAnsi="Arial Black"/>
          <w:b/>
          <w:spacing w:val="-10"/>
          <w:kern w:val="2"/>
          <w:szCs w:val="24"/>
          <w:lang w:eastAsia="ru-RU"/>
        </w:rPr>
        <w:t>Плата за услуги по поддержанию резервной тепловой мощности</w:t>
      </w:r>
      <w:bookmarkEnd w:id="226"/>
      <w:bookmarkEnd w:id="227"/>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r>
    </w:p>
    <w:p>
      <w:pPr>
        <w:pStyle w:val="Normal"/>
        <w:spacing w:lineRule="auto" w:line="360" w:before="120" w:after="0"/>
        <w:ind w:firstLine="709" w:right="-1"/>
        <w:rPr>
          <w:rFonts w:eastAsia="Arial" w:cs="Arial"/>
          <w:spacing w:val="-4"/>
          <w:sz w:val="24"/>
          <w:szCs w:val="24"/>
        </w:r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рассматриваемый период  не взималась.</w:t>
      </w:r>
    </w:p>
    <w:p>
      <w:pPr>
        <w:pStyle w:val="Normal"/>
        <w:widowControl/>
        <w:spacing w:lineRule="auto" w:line="259" w:before="0" w:after="160"/>
        <w:ind w:hanging="0"/>
        <w:jc w:val="center"/>
        <w:textAlignment w:val="auto"/>
        <w:rPr>
          <w:rFonts w:eastAsia="Calibri" w:cs="Arial"/>
          <w:spacing w:val="0"/>
          <w:sz w:val="16"/>
          <w:szCs w:val="16"/>
        </w:rPr>
      </w:pPr>
      <w:r>
        <w:rPr>
          <w:rFonts w:eastAsia="Calibri" w:cs="Arial"/>
          <w:spacing w:val="0"/>
          <w:sz w:val="16"/>
          <w:szCs w:val="16"/>
        </w:rPr>
      </w:r>
    </w:p>
    <w:p>
      <w:pPr>
        <w:pStyle w:val="Normal"/>
        <w:spacing w:lineRule="auto" w:line="360" w:before="120" w:after="0"/>
        <w:ind w:firstLine="709" w:right="-1"/>
        <w:rPr/>
      </w:pPr>
      <w:r>
        <w:rPr/>
      </w:r>
    </w:p>
    <w:sectPr>
      <w:headerReference w:type="default" r:id="rId181"/>
      <w:headerReference w:type="first" r:id="rId182"/>
      <w:footerReference w:type="default" r:id="rId183"/>
      <w:footerReference w:type="first" r:id="rId184"/>
      <w:type w:val="nextPage"/>
      <w:pgSz w:w="11906" w:h="16838"/>
      <w:pgMar w:left="1701" w:right="1134" w:gutter="0" w:header="510" w:top="851" w:footer="692" w:bottom="1134"/>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Arial">
    <w:charset w:val="cc"/>
    <w:family w:val="swiss"/>
    <w:pitch w:val="variable"/>
  </w:font>
  <w:font w:name="Arial Black">
    <w:charset w:val="cc"/>
    <w:family w:val="swiss"/>
    <w:pitch w:val="variable"/>
  </w:font>
  <w:font w:name="Tahoma">
    <w:charset w:val="cc"/>
    <w:family w:val="swiss"/>
    <w:pitch w:val="variable"/>
  </w:font>
  <w:font w:name="Cambria">
    <w:charset w:val="cc"/>
    <w:family w:val="roman"/>
    <w:pitch w:val="variable"/>
  </w:font>
  <w:font w:name="Arial Narrow">
    <w:charset w:val="cc"/>
    <w:family w:val="swiss"/>
    <w:pitch w:val="variable"/>
  </w:font>
  <w:font w:name="Courier New">
    <w:charset w:val="cc"/>
    <w:family w:val="roman"/>
    <w:pitch w:val="variable"/>
  </w:font>
  <w:font w:name="Calibri">
    <w:charset w:val="cc"/>
    <w:family w:val="swiss"/>
    <w:pitch w:val="variable"/>
  </w:font>
  <w:font w:name="Calibri">
    <w:charset w:val="cc"/>
    <w:family w:val="roman"/>
    <w:pitch w:val="variable"/>
  </w:font>
  <w:font w:name="Times New Roman CYR">
    <w:charset w:val="cc"/>
    <w:family w:val="roman"/>
    <w:pitch w:val="variable"/>
  </w:font>
  <w:font w:name="Segoe UI">
    <w:charset w:val="cc"/>
    <w:family w:val="swiss"/>
    <w:pitch w:val="variable"/>
  </w:font>
  <w:font w:name="Consolas">
    <w:charset w:val="cc"/>
    <w:family w:val="roman"/>
    <w:pitch w:val="variable"/>
  </w:font>
  <w:font w:name="Liberation Sans">
    <w:altName w:val="Arial"/>
    <w:charset w:val="cc"/>
    <w:family w:val="swiss"/>
    <w:pitch w:val="variable"/>
  </w:font>
  <w:font w:name="Courier New">
    <w:charset w:val="cc"/>
    <w:family w:val="swiss"/>
    <w:pitch w:val="variable"/>
  </w:font>
  <w:font w:name="Helv">
    <w:altName w:val="Arial"/>
    <w:charset w:val="cc"/>
    <w:family w:val="swiss"/>
    <w:pitch w:val="variable"/>
  </w:font>
  <w:font w:name="Cambria">
    <w:charset w:val="cc"/>
    <w:family w:val="swiss"/>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widowControl w:val="false"/>
      <w:bidi w:val="0"/>
      <w:spacing w:before="120" w:after="120"/>
      <w:ind w:firstLine="567"/>
      <w:jc w:val="both"/>
      <w:textAlignment w:val="baseline"/>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8" name="Врезка2"/>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rPr/>
    </w:pPr>
    <w:r>
      <w:rPr/>
    </w:r>
  </w:p>
  <w:p>
    <w:pPr>
      <w:pStyle w:val="Normal"/>
      <w:widowControl w:val="false"/>
      <w:bidi w:val="0"/>
      <w:spacing w:before="120" w:after="120"/>
      <w:ind w:firstLine="567"/>
      <w:jc w:val="both"/>
      <w:textAlignment w:val="baseline"/>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26</w:t>
        </w:r>
        <w:r>
          <w:rPr>
            <w:sz w:val="18"/>
            <w:rFonts w:ascii="Arial Black" w:hAnsi="Arial Black"/>
          </w:rPr>
          <w:fldChar w:fldCharType="end"/>
        </w:r>
      </w:p>
    </w:sdtContent>
  </w:sdt>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38</w:t>
        </w:r>
        <w:r>
          <w:rPr>
            <w:sz w:val="18"/>
            <w:rFonts w:ascii="Arial Black" w:hAnsi="Arial Black"/>
          </w:rPr>
          <w:fldChar w:fldCharType="end"/>
        </w:r>
      </w:p>
    </w:sdtContent>
  </w:sdt>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39</w:t>
        </w:r>
        <w:r>
          <w:rPr>
            <w:sz w:val="18"/>
            <w:rFonts w:ascii="Arial Black" w:hAnsi="Arial Black"/>
          </w:rPr>
          <w:fldChar w:fldCharType="end"/>
        </w:r>
      </w:p>
    </w:sdtContent>
  </w:sdt>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26" name="Врезка5"/>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widowControl w:val="false"/>
      <w:bidi w:val="0"/>
      <w:spacing w:before="120" w:after="120"/>
      <w:ind w:firstLine="567"/>
      <w:jc w:val="both"/>
      <w:textAlignment w:val="baseline"/>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40</w:t>
        </w:r>
        <w:r>
          <w:rPr>
            <w:sz w:val="18"/>
            <w:rFonts w:ascii="Arial Black" w:hAnsi="Arial Black"/>
          </w:rPr>
          <w:fldChar w:fldCharType="end"/>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w:t>
        </w:r>
        <w:r>
          <w:rPr>
            <w:sz w:val="18"/>
            <w:rFonts w:ascii="Arial Black" w:hAnsi="Arial Black"/>
          </w:rPr>
          <w:fldChar w:fldCharType="end"/>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41</w:t>
        </w:r>
        <w:r>
          <w:rPr>
            <w:sz w:val="18"/>
            <w:rFonts w:ascii="Arial Black" w:hAnsi="Arial Black"/>
          </w:rPr>
          <w:fldChar w:fldCharType="end"/>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60</w:t>
        </w:r>
        <w:r>
          <w:rPr>
            <w:sz w:val="18"/>
            <w:rFonts w:ascii="Arial Black" w:hAnsi="Arial Black"/>
          </w:rPr>
          <w:fldChar w:fldCharType="end"/>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63</w:t>
        </w:r>
        <w:r>
          <w:rPr>
            <w:sz w:val="18"/>
            <w:rFonts w:ascii="Arial Black" w:hAnsi="Arial Black"/>
          </w:rPr>
          <w:fldChar w:fldCharType="end"/>
        </w:r>
      </w:p>
    </w:sdtContent>
  </w:sdt>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80</w:t>
        </w:r>
        <w:r>
          <w:rPr>
            <w:sz w:val="18"/>
            <w:rFonts w:ascii="Arial Black" w:hAnsi="Arial Black"/>
          </w:rPr>
          <w:fldChar w:fldCharType="end"/>
        </w:r>
      </w:p>
    </w:sdtContent>
  </w:sdt>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86</w:t>
        </w:r>
        <w:r>
          <w:rPr>
            <w:sz w:val="18"/>
            <w:rFonts w:ascii="Arial Black" w:hAnsi="Arial Black"/>
          </w:rPr>
          <w:fldChar w:fldCharType="end"/>
        </w:r>
      </w:p>
    </w:sdtContent>
  </w:sdt>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keepLines/>
      <w:pBdr>
        <w:top w:val="thinThickSmallGap" w:sz="24" w:space="0" w:color="622423"/>
      </w:pBdr>
      <w:spacing w:lineRule="atLeast" w:line="190" w:before="120" w:after="120"/>
      <w:ind w:hanging="0"/>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87</w:t>
        </w:r>
        <w:r>
          <w:rPr>
            <w:sz w:val="18"/>
            <w:rFonts w:ascii="Arial Black" w:hAnsi="Arial Black"/>
          </w:rPr>
          <w:fldChar w:fldCharType="end"/>
        </w:r>
      </w:p>
    </w:sdtContent>
  </w:sdt>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96</w:t>
        </w:r>
        <w:r>
          <w:rPr>
            <w:sz w:val="18"/>
            <w:rFonts w:ascii="Arial Black" w:hAnsi="Arial Black"/>
          </w:rPr>
          <w:fldChar w:fldCharType="end"/>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41" name="Врезка8"/>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widowControl w:val="false"/>
      <w:bidi w:val="0"/>
      <w:spacing w:before="120" w:after="120"/>
      <w:ind w:firstLine="567"/>
      <w:jc w:val="both"/>
      <w:textAlignment w:val="baseline"/>
      <w:rPr/>
    </w:pPr>
    <w:r>
      <w:rPr/>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99</w:t>
        </w:r>
        <w:r>
          <w:rPr>
            <w:sz w:val="18"/>
            <w:rFonts w:ascii="Arial Black" w:hAnsi="Arial Black"/>
          </w:rPr>
          <w:fldChar w:fldCharType="end"/>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125</w:t>
        </w:r>
        <w:r>
          <w:rPr>
            <w:sz w:val="18"/>
            <w:rFonts w:ascii="Arial Black" w:hAnsi="Arial Black"/>
          </w:rPr>
          <w:fldChar w:fldCharType="end"/>
        </w:r>
      </w:p>
    </w:sdtContent>
  </w:sdt>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126</w:t>
        </w:r>
        <w:r>
          <w:rPr>
            <w:sz w:val="18"/>
            <w:rFonts w:ascii="Arial Black" w:hAnsi="Arial Black"/>
          </w:rPr>
          <w:fldChar w:fldCharType="end"/>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16</w:t>
        </w:r>
        <w:r>
          <w:rPr>
            <w:sz w:val="18"/>
            <w:rFonts w:ascii="Arial Black" w:hAnsi="Arial Black"/>
          </w:rPr>
          <w:fldChar w:fldCharType="end"/>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65" name="Врезка9"/>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widowControl w:val="false"/>
      <w:bidi w:val="0"/>
      <w:spacing w:before="120" w:after="120"/>
      <w:ind w:firstLine="567"/>
      <w:jc w:val="both"/>
      <w:textAlignment w:val="baseline"/>
      <w:rPr/>
    </w:pPr>
    <w:r>
      <w:rPr/>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128</w:t>
        </w:r>
        <w:r>
          <w:rPr>
            <w:sz w:val="18"/>
            <w:rFonts w:ascii="Arial Black" w:hAnsi="Arial Black"/>
          </w:rPr>
          <w:fldChar w:fldCharType="end"/>
        </w:r>
      </w:p>
    </w:sdtContent>
  </w:sdt>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129</w:t>
        </w:r>
        <w:r>
          <w:rPr>
            <w:sz w:val="18"/>
            <w:rFonts w:ascii="Arial Black" w:hAnsi="Arial Black"/>
          </w:rPr>
          <w:fldChar w:fldCharType="end"/>
        </w:r>
      </w:p>
    </w:sdtContent>
  </w:sdt>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120" w:after="120"/>
      <w:ind w:hanging="0"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75" name="Врезка10"/>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top w:val="nil"/>
                      </w:pBdr>
                      <w:spacing w:before="120" w:after="120"/>
                      <w:rPr/>
                    </w:pPr>
                    <w:r>
                      <w:rPr/>
                      <w:fldChar w:fldCharType="begin"/>
                    </w:r>
                    <w:r>
                      <w:rPr/>
                      <w:instrText xml:space="preserve"> PAGE </w:instrText>
                    </w:r>
                    <w:r>
                      <w:rPr/>
                      <w:fldChar w:fldCharType="separate"/>
                    </w:r>
                    <w:r>
                      <w:rPr/>
                      <w:t>0</w:t>
                    </w:r>
                    <w:r>
                      <w:rPr/>
                      <w:fldChar w:fldCharType="end"/>
                    </w:r>
                  </w:p>
                </w:txbxContent>
              </v:textbox>
              <w10:wrap type="squar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widowControl w:val="false"/>
      <w:bidi w:val="0"/>
      <w:spacing w:before="120" w:after="120"/>
      <w:ind w:firstLine="567"/>
      <w:jc w:val="both"/>
      <w:textAlignment w:val="baseline"/>
      <w:rPr/>
    </w:pPr>
    <w:r>
      <w:rPr/>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140</w:t>
        </w:r>
        <w:r>
          <w:rPr>
            <w:sz w:val="18"/>
            <w:rFonts w:ascii="Arial Black" w:hAnsi="Arial Black"/>
          </w:rPr>
          <w:fldChar w:fldCharType="end"/>
        </w:r>
      </w:p>
    </w:sdtContent>
  </w:sdt>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165</w:t>
        </w:r>
        <w:r>
          <w:rPr>
            <w:sz w:val="18"/>
            <w:rFonts w:ascii="Arial Black" w:hAnsi="Arial Black"/>
          </w:rPr>
          <w:fldChar w:fldCharType="end"/>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169</w:t>
        </w:r>
        <w:r>
          <w:rPr>
            <w:sz w:val="18"/>
            <w:rFonts w:ascii="Arial Black" w:hAnsi="Arial Black"/>
          </w:rPr>
          <w:fldChar w:fldCharType="end"/>
        </w:r>
      </w:p>
    </w:sdtContent>
  </w:sdt>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178</w:t>
        </w:r>
        <w:r>
          <w:rPr>
            <w:sz w:val="18"/>
            <w:rFonts w:ascii="Arial Black" w:hAnsi="Arial Black"/>
          </w:rPr>
          <w:fldChar w:fldCharType="end"/>
        </w:r>
      </w:p>
    </w:sdtContent>
  </w:sdt>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182</w:t>
        </w:r>
        <w:r>
          <w:rPr>
            <w:sz w:val="18"/>
            <w:rFonts w:ascii="Arial Black" w:hAnsi="Arial Black"/>
          </w:rPr>
          <w:fldChar w:fldCharType="end"/>
        </w:r>
      </w:p>
    </w:sdtContent>
  </w:sdt>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229</w:t>
        </w:r>
        <w:r>
          <w:rPr>
            <w:sz w:val="18"/>
            <w:rFonts w:ascii="Arial Black" w:hAnsi="Arial Black"/>
          </w:rPr>
          <w:fldChar w:fldCharType="end"/>
        </w:r>
      </w:p>
    </w:sdtContent>
  </w:sdt>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234</w:t>
        </w:r>
        <w:r>
          <w:rPr>
            <w:sz w:val="18"/>
            <w:rFonts w:ascii="Arial Black" w:hAnsi="Arial Black"/>
          </w:rPr>
          <w:fldChar w:fldCharType="end"/>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17</w:t>
        </w:r>
        <w:r>
          <w:rPr>
            <w:sz w:val="18"/>
            <w:rFonts w:ascii="Arial Black" w:hAnsi="Arial Black"/>
          </w:rPr>
          <w:fldChar w:fldCharType="end"/>
        </w:r>
      </w:p>
    </w:sdtContent>
  </w:sdt>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22</w:t>
        </w:r>
        <w:r>
          <w:rPr>
            <w:sz w:val="18"/>
            <w:rFonts w:ascii="Arial Black" w:hAnsi="Arial Black"/>
          </w:rPr>
          <w:fldChar w:fldCharType="end"/>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1"/>
        <w:numId w:val="6"/>
      </w:numPr>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0"/>
      </w:numPr>
      <w:spacing w:lineRule="auto" w:line="276"/>
      <w:ind w:hanging="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0"/>
      </w:numPr>
      <w:ind w:hanging="0" w:left="720"/>
      <w:rPr/>
    </w:pPr>
    <w:r>
      <w:rPr/>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0"/>
      </w:numPr>
      <w:spacing w:lineRule="auto" w:line="276"/>
      <w:ind w:hanging="0" w:left="0"/>
      <w:rPr>
        <w:rFonts w:ascii="Arial Narrow" w:hAnsi="Arial Narrow" w:eastAsia="" w:eastAsiaTheme="majorEastAsia"/>
        <w:caps/>
        <w:sz w:val="16"/>
      </w:rPr>
    </w:pPr>
    <w:r>
      <w:rPr>
        <w:rFonts w:eastAsia="" w:ascii="Arial Narrow" w:hAnsi="Arial Narrow" w:eastAsiaTheme="majorEastAsia"/>
        <w:b/>
        <w:sz w:val="16"/>
      </w:rPr>
      <w:t xml:space="preserve">                                                                                                                                   </w:t>
    </w:r>
    <w:r>
      <w:rPr>
        <w:rFonts w:eastAsia="" w:ascii="Arial Narrow" w:hAnsi="Arial Narrow" w:eastAsiaTheme="majorEastAsia"/>
        <w:b/>
        <w:sz w:val="16"/>
      </w:rPr>
      <w:t>СХЕМА ТЕПЛОСНАБЖЕНИЯ МУНИЦИПАЛЬНОГО ОБРАЗОВАНИЯ «ГОРОД КАЛУГА» ДО 2028 ГОДА</w:t>
    </w:r>
  </w:p>
  <w:p>
    <w:pPr>
      <w:pStyle w:val="Header"/>
      <w:numPr>
        <w:ilvl w:val="0"/>
        <w:numId w:val="0"/>
      </w:numPr>
      <w:ind w:firstLine="720" w:left="0"/>
      <w:rPr/>
    </w:pPr>
    <w:r>
      <w:rPr/>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0"/>
      </w:numPr>
      <w:spacing w:lineRule="auto" w:line="276"/>
      <w:ind w:hanging="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p>
    <w:pPr>
      <w:pStyle w:val="Header"/>
      <w:numPr>
        <w:ilvl w:val="0"/>
        <w:numId w:val="0"/>
      </w:numPr>
      <w:ind w:firstLine="720" w:left="0"/>
      <w:rPr/>
    </w:pPr>
    <w:r>
      <w:rPr/>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numPr>
        <w:ilvl w:val="0"/>
        <w:numId w:val="6"/>
      </w:numPr>
      <w:spacing w:lineRule="auto" w:line="276"/>
      <w:ind w:firstLine="720" w:left="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numPicBullet w:numPicBulletId="0">
    <w:pict>
      <v:shape style="width:9.75pt;height:9.75pt" o:bullet="t">
        <v:imagedata r:id="rId1" o:title=""/>
      </v:shape>
    </w:pict>
  </w:numPicBullet>
  <w:abstractNum w:abstractNumId="1">
    <w:lvl w:ilvl="0">
      <w:start w:val="4"/>
      <w:pStyle w:val="Heading1"/>
      <w:numFmt w:val="decimal"/>
      <w:lvlText w:val="%1"/>
      <w:lvlJc w:val="left"/>
      <w:pPr>
        <w:tabs>
          <w:tab w:val="num" w:pos="0"/>
        </w:tabs>
        <w:ind w:left="1353" w:hanging="360"/>
      </w:pPr>
      <w:rPr>
        <w:sz w:val="24"/>
        <w:i w:val="false"/>
        <w:b/>
        <w:szCs w:val="24"/>
      </w:rPr>
    </w:lvl>
    <w:lvl w:ilvl="1">
      <w:start w:val="3"/>
      <w:pStyle w:val="Heading2"/>
      <w:numFmt w:val="decimal"/>
      <w:lvlText w:val="%1.%2"/>
      <w:lvlJc w:val="left"/>
      <w:pPr>
        <w:tabs>
          <w:tab w:val="num" w:pos="1844"/>
        </w:tabs>
        <w:ind w:left="1844" w:hanging="851"/>
      </w:pPr>
      <w:rPr>
        <w:sz w:val="20"/>
      </w:rPr>
    </w:lvl>
    <w:lvl w:ilvl="2">
      <w:start w:val="1"/>
      <w:pStyle w:val="Heading3"/>
      <w:numFmt w:val="decimal"/>
      <w:lvlText w:val="%1.%2.%3"/>
      <w:lvlJc w:val="left"/>
      <w:pPr>
        <w:tabs>
          <w:tab w:val="num" w:pos="2269"/>
        </w:tabs>
        <w:ind w:left="2269" w:hanging="1134"/>
      </w:pPr>
      <w:rPr/>
    </w:lvl>
    <w:lvl w:ilvl="3">
      <w:start w:val="1"/>
      <w:pStyle w:val="Heading4"/>
      <w:numFmt w:val="decimal"/>
      <w:lvlText w:val="%3%1.%2..%4."/>
      <w:lvlJc w:val="left"/>
      <w:pPr>
        <w:tabs>
          <w:tab w:val="num" w:pos="2029"/>
        </w:tabs>
        <w:ind w:left="2029" w:hanging="1418"/>
      </w:pPr>
      <w:rPr/>
    </w:lvl>
    <w:lvl w:ilvl="4">
      <w:start w:val="1"/>
      <w:numFmt w:val="decimal"/>
      <w:lvlText w:val="%1.%2.%3.%4.%5"/>
      <w:lvlJc w:val="left"/>
      <w:pPr>
        <w:tabs>
          <w:tab w:val="num" w:pos="3970"/>
        </w:tabs>
        <w:ind w:left="3970" w:hanging="1418"/>
      </w:pPr>
      <w:rPr/>
    </w:lvl>
    <w:lvl w:ilvl="5">
      <w:start w:val="1"/>
      <w:numFmt w:val="decimal"/>
      <w:lvlText w:val="%1.%2.%3.%4.%5.%6"/>
      <w:lvlJc w:val="left"/>
      <w:pPr>
        <w:tabs>
          <w:tab w:val="num" w:pos="3135"/>
        </w:tabs>
        <w:ind w:left="3135" w:hanging="1152"/>
      </w:pPr>
      <w:rPr/>
    </w:lvl>
    <w:lvl w:ilvl="6">
      <w:start w:val="1"/>
      <w:numFmt w:val="decimal"/>
      <w:lvlText w:val="%1.%2.%3.%4.%5.%6.%7"/>
      <w:lvlJc w:val="left"/>
      <w:pPr>
        <w:tabs>
          <w:tab w:val="num" w:pos="3279"/>
        </w:tabs>
        <w:ind w:left="3279" w:hanging="1296"/>
      </w:pPr>
      <w:rPr/>
    </w:lvl>
    <w:lvl w:ilvl="7">
      <w:start w:val="1"/>
      <w:numFmt w:val="decimal"/>
      <w:lvlText w:val="%1.%2.%3.%4.%5.%6.%7.%8"/>
      <w:lvlJc w:val="left"/>
      <w:pPr>
        <w:tabs>
          <w:tab w:val="num" w:pos="3423"/>
        </w:tabs>
        <w:ind w:left="3423" w:hanging="1440"/>
      </w:pPr>
      <w:rPr/>
    </w:lvl>
    <w:lvl w:ilvl="8">
      <w:start w:val="1"/>
      <w:numFmt w:val="decimal"/>
      <w:lvlText w:val="%1.%2.%3.%4.%5.%6.%7.%8.%9"/>
      <w:lvlJc w:val="left"/>
      <w:pPr>
        <w:tabs>
          <w:tab w:val="num" w:pos="3567"/>
        </w:tabs>
        <w:ind w:left="3567" w:hanging="1584"/>
      </w:pPr>
      <w:rPr/>
    </w:lvl>
  </w:abstractNum>
  <w:abstractNum w:abstractNumId="2">
    <w:lvl w:ilvl="0">
      <w:start w:val="1"/>
      <w:numFmt w:val="decimal"/>
      <w:lvlText w:val="%1."/>
      <w:lvlJc w:val="left"/>
      <w:pPr>
        <w:tabs>
          <w:tab w:val="num" w:pos="360"/>
        </w:tabs>
        <w:ind w:left="360" w:hanging="360"/>
      </w:pPr>
      <w:rPr/>
    </w:lvl>
    <w:lvl w:ilvl="1">
      <w:start w:val="1"/>
      <w:isLgl/>
      <w:numFmt w:val="decimal"/>
      <w:lvlText w:val="%1.%2."/>
      <w:lvlJc w:val="left"/>
      <w:pPr>
        <w:tabs>
          <w:tab w:val="num" w:pos="0"/>
        </w:tabs>
        <w:ind w:left="360" w:hanging="360"/>
      </w:pPr>
      <w:rPr/>
    </w:lvl>
    <w:lvl w:ilvl="2">
      <w:start w:val="1"/>
      <w:isLgl/>
      <w:numFmt w:val="decimal"/>
      <w:lvlText w:val="%1.%2.%3."/>
      <w:lvlJc w:val="left"/>
      <w:pPr>
        <w:tabs>
          <w:tab w:val="num" w:pos="0"/>
        </w:tabs>
        <w:ind w:left="720" w:hanging="720"/>
      </w:pPr>
      <w:rPr/>
    </w:lvl>
    <w:lvl w:ilvl="3">
      <w:start w:val="1"/>
      <w:isLgl/>
      <w:numFmt w:val="decimal"/>
      <w:lvlText w:val="%1.%2.%3.%4."/>
      <w:lvlJc w:val="left"/>
      <w:pPr>
        <w:tabs>
          <w:tab w:val="num" w:pos="0"/>
        </w:tabs>
        <w:ind w:left="720" w:hanging="720"/>
      </w:pPr>
      <w:rPr/>
    </w:lvl>
    <w:lvl w:ilvl="4">
      <w:start w:val="1"/>
      <w:isLgl/>
      <w:numFmt w:val="decimal"/>
      <w:lvlText w:val="%1.%2.%3.%4.%5."/>
      <w:lvlJc w:val="left"/>
      <w:pPr>
        <w:tabs>
          <w:tab w:val="num" w:pos="0"/>
        </w:tabs>
        <w:ind w:left="1080" w:hanging="1080"/>
      </w:pPr>
      <w:rPr/>
    </w:lvl>
    <w:lvl w:ilvl="5">
      <w:start w:val="1"/>
      <w:isLgl/>
      <w:numFmt w:val="decimal"/>
      <w:lvlText w:val="%1.%2.%3.%4.%5.%6."/>
      <w:lvlJc w:val="left"/>
      <w:pPr>
        <w:tabs>
          <w:tab w:val="num" w:pos="0"/>
        </w:tabs>
        <w:ind w:left="1080" w:hanging="1080"/>
      </w:pPr>
      <w:rPr/>
    </w:lvl>
    <w:lvl w:ilvl="6">
      <w:start w:val="1"/>
      <w:isLgl/>
      <w:numFmt w:val="decimal"/>
      <w:lvlText w:val="%1.%2.%3.%4.%5.%6.%7."/>
      <w:lvlJc w:val="left"/>
      <w:pPr>
        <w:tabs>
          <w:tab w:val="num" w:pos="0"/>
        </w:tabs>
        <w:ind w:left="1440" w:hanging="1440"/>
      </w:pPr>
      <w:rPr/>
    </w:lvl>
    <w:lvl w:ilvl="7">
      <w:start w:val="1"/>
      <w:isLgl/>
      <w:numFmt w:val="decimal"/>
      <w:lvlText w:val="%1.%2.%3.%4.%5.%6.%7.%8."/>
      <w:lvlJc w:val="left"/>
      <w:pPr>
        <w:tabs>
          <w:tab w:val="num" w:pos="0"/>
        </w:tabs>
        <w:ind w:left="1440" w:hanging="1440"/>
      </w:pPr>
      <w:rPr/>
    </w:lvl>
    <w:lvl w:ilvl="8">
      <w:start w:val="1"/>
      <w:isLgl/>
      <w:numFmt w:val="decimal"/>
      <w:lvlText w:val="%1.%2.%3.%4.%5.%6.%7.%8.%9."/>
      <w:lvlJc w:val="left"/>
      <w:pPr>
        <w:tabs>
          <w:tab w:val="num" w:pos="0"/>
        </w:tabs>
        <w:ind w:left="1800" w:hanging="1800"/>
      </w:pPr>
      <w:rPr/>
    </w:lvl>
  </w:abstractNum>
  <w:abstractNum w:abstractNumId="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786"/>
        </w:tabs>
        <w:ind w:left="786" w:hanging="360"/>
      </w:pPr>
      <w:rPr>
        <w:rFonts w:ascii="Wingdings" w:hAnsi="Wingdings" w:cs="Wingdings" w:hint="default"/>
        <w:sz w:val="1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lvl w:ilvl="0">
      <w:start w:val="1"/>
      <w:numFmt w:val="bullet"/>
      <w:lvlText w:val="•"/>
      <w:lvlPicBulletId w:val="0"/>
      <w:lvlJc w:val="left"/>
      <w:pPr>
        <w:tabs>
          <w:tab w:val="num" w:pos="1287"/>
        </w:tabs>
        <w:ind w:left="1287" w:hanging="360"/>
      </w:pPr>
      <w:rPr>
        <w:rFonts w:ascii="Symbol" w:hAnsi="Symbol" w:cs="Symbol" w:hint="default"/>
        <w:sz w:val="16"/>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lvl w:ilvl="0">
      <w:start w:val="1"/>
      <w:numFmt w:val="bullet"/>
      <w:lvlText w:val=""/>
      <w:lvlJc w:val="left"/>
      <w:pPr>
        <w:tabs>
          <w:tab w:val="num" w:pos="3346"/>
        </w:tabs>
        <w:ind w:left="3346" w:hanging="360"/>
      </w:pPr>
      <w:rPr>
        <w:rFonts w:ascii="Symbol" w:hAnsi="Symbol" w:cs="Symbol" w:hint="default"/>
        <w:color w:val="auto"/>
      </w:rPr>
    </w:lvl>
    <w:lvl w:ilvl="1">
      <w:start w:val="1"/>
      <w:numFmt w:val="bullet"/>
      <w:lvlText w:val=""/>
      <w:lvlJc w:val="left"/>
      <w:pPr>
        <w:tabs>
          <w:tab w:val="num" w:pos="1352"/>
        </w:tabs>
        <w:ind w:left="1352" w:hanging="360"/>
      </w:pPr>
      <w:rPr>
        <w:rFonts w:ascii="Symbol" w:hAnsi="Symbol" w:cs="Symbol" w:hint="default"/>
        <w:color w:val="auto"/>
      </w:rPr>
    </w:lvl>
    <w:lvl w:ilvl="2">
      <w:start w:val="1"/>
      <w:numFmt w:val="bullet"/>
      <w:lvlText w:val=""/>
      <w:lvlJc w:val="left"/>
      <w:pPr>
        <w:tabs>
          <w:tab w:val="num" w:pos="2869"/>
        </w:tabs>
        <w:ind w:left="2869" w:hanging="360"/>
      </w:pPr>
      <w:rPr>
        <w:rFonts w:ascii="Wingdings" w:hAnsi="Wingdings" w:cs="Wingdings" w:hint="default"/>
      </w:rPr>
    </w:lvl>
    <w:lvl w:ilvl="3">
      <w:start w:val="1"/>
      <w:numFmt w:val="bullet"/>
      <w:lvlText w:val=""/>
      <w:lvlJc w:val="left"/>
      <w:pPr>
        <w:tabs>
          <w:tab w:val="num" w:pos="3589"/>
        </w:tabs>
        <w:ind w:left="3589" w:hanging="360"/>
      </w:pPr>
      <w:rPr>
        <w:rFonts w:ascii="Symbol" w:hAnsi="Symbol" w:cs="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cs="Wingdings" w:hint="default"/>
      </w:rPr>
    </w:lvl>
    <w:lvl w:ilvl="6">
      <w:start w:val="1"/>
      <w:numFmt w:val="bullet"/>
      <w:lvlText w:val=""/>
      <w:lvlJc w:val="left"/>
      <w:pPr>
        <w:tabs>
          <w:tab w:val="num" w:pos="5749"/>
        </w:tabs>
        <w:ind w:left="5749" w:hanging="360"/>
      </w:pPr>
      <w:rPr>
        <w:rFonts w:ascii="Symbol" w:hAnsi="Symbol" w:cs="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cs="Wingdings" w:hint="default"/>
      </w:rPr>
    </w:lvl>
  </w:abstractNum>
  <w:abstractNum w:abstractNumId="7">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8">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9">
    <w:lvl w:ilvl="0">
      <w:start w:val="1"/>
      <w:numFmt w:val="bullet"/>
      <w:lvlText w:val=""/>
      <w:lvlJc w:val="left"/>
      <w:pPr>
        <w:tabs>
          <w:tab w:val="num" w:pos="0"/>
        </w:tabs>
        <w:ind w:left="1292" w:hanging="360"/>
      </w:pPr>
      <w:rPr>
        <w:rFonts w:ascii="Symbol" w:hAnsi="Symbol" w:cs="Symbol" w:hint="default"/>
      </w:rPr>
    </w:lvl>
    <w:lvl w:ilvl="1">
      <w:start w:val="1"/>
      <w:numFmt w:val="bullet"/>
      <w:lvlText w:val="o"/>
      <w:lvlJc w:val="left"/>
      <w:pPr>
        <w:tabs>
          <w:tab w:val="num" w:pos="0"/>
        </w:tabs>
        <w:ind w:left="2012" w:hanging="360"/>
      </w:pPr>
      <w:rPr>
        <w:rFonts w:ascii="Courier New" w:hAnsi="Courier New" w:cs="Courier New" w:hint="default"/>
      </w:rPr>
    </w:lvl>
    <w:lvl w:ilvl="2">
      <w:start w:val="1"/>
      <w:numFmt w:val="bullet"/>
      <w:lvlText w:val=""/>
      <w:lvlJc w:val="left"/>
      <w:pPr>
        <w:tabs>
          <w:tab w:val="num" w:pos="0"/>
        </w:tabs>
        <w:ind w:left="2732" w:hanging="360"/>
      </w:pPr>
      <w:rPr>
        <w:rFonts w:ascii="Wingdings" w:hAnsi="Wingdings" w:cs="Wingdings" w:hint="default"/>
      </w:rPr>
    </w:lvl>
    <w:lvl w:ilvl="3">
      <w:start w:val="1"/>
      <w:numFmt w:val="bullet"/>
      <w:lvlText w:val=""/>
      <w:lvlJc w:val="left"/>
      <w:pPr>
        <w:tabs>
          <w:tab w:val="num" w:pos="0"/>
        </w:tabs>
        <w:ind w:left="3452" w:hanging="360"/>
      </w:pPr>
      <w:rPr>
        <w:rFonts w:ascii="Symbol" w:hAnsi="Symbol" w:cs="Symbol" w:hint="default"/>
      </w:rPr>
    </w:lvl>
    <w:lvl w:ilvl="4">
      <w:start w:val="1"/>
      <w:numFmt w:val="bullet"/>
      <w:lvlText w:val="o"/>
      <w:lvlJc w:val="left"/>
      <w:pPr>
        <w:tabs>
          <w:tab w:val="num" w:pos="0"/>
        </w:tabs>
        <w:ind w:left="4172" w:hanging="360"/>
      </w:pPr>
      <w:rPr>
        <w:rFonts w:ascii="Courier New" w:hAnsi="Courier New" w:cs="Courier New" w:hint="default"/>
      </w:rPr>
    </w:lvl>
    <w:lvl w:ilvl="5">
      <w:start w:val="1"/>
      <w:numFmt w:val="bullet"/>
      <w:lvlText w:val=""/>
      <w:lvlJc w:val="left"/>
      <w:pPr>
        <w:tabs>
          <w:tab w:val="num" w:pos="0"/>
        </w:tabs>
        <w:ind w:left="4892" w:hanging="360"/>
      </w:pPr>
      <w:rPr>
        <w:rFonts w:ascii="Wingdings" w:hAnsi="Wingdings" w:cs="Wingdings" w:hint="default"/>
      </w:rPr>
    </w:lvl>
    <w:lvl w:ilvl="6">
      <w:start w:val="1"/>
      <w:numFmt w:val="bullet"/>
      <w:lvlText w:val=""/>
      <w:lvlJc w:val="left"/>
      <w:pPr>
        <w:tabs>
          <w:tab w:val="num" w:pos="0"/>
        </w:tabs>
        <w:ind w:left="5612" w:hanging="360"/>
      </w:pPr>
      <w:rPr>
        <w:rFonts w:ascii="Symbol" w:hAnsi="Symbol" w:cs="Symbol" w:hint="default"/>
      </w:rPr>
    </w:lvl>
    <w:lvl w:ilvl="7">
      <w:start w:val="1"/>
      <w:numFmt w:val="bullet"/>
      <w:lvlText w:val="o"/>
      <w:lvlJc w:val="left"/>
      <w:pPr>
        <w:tabs>
          <w:tab w:val="num" w:pos="0"/>
        </w:tabs>
        <w:ind w:left="6332" w:hanging="360"/>
      </w:pPr>
      <w:rPr>
        <w:rFonts w:ascii="Courier New" w:hAnsi="Courier New" w:cs="Courier New" w:hint="default"/>
      </w:rPr>
    </w:lvl>
    <w:lvl w:ilvl="8">
      <w:start w:val="1"/>
      <w:numFmt w:val="bullet"/>
      <w:lvlText w:val=""/>
      <w:lvlJc w:val="left"/>
      <w:pPr>
        <w:tabs>
          <w:tab w:val="num" w:pos="0"/>
        </w:tabs>
        <w:ind w:left="7052" w:hanging="360"/>
      </w:pPr>
      <w:rPr>
        <w:rFonts w:ascii="Wingdings" w:hAnsi="Wingdings" w:cs="Wingdings" w:hint="default"/>
      </w:rPr>
    </w:lvl>
  </w:abstractNum>
  <w:abstractNum w:abstractNumId="10">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1">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2">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3">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5">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6">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7">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8">
    <w:lvl w:ilvl="0">
      <w:start w:val="1"/>
      <w:numFmt w:val="decimal"/>
      <w:lvlText w:val="%1."/>
      <w:lvlJc w:val="left"/>
      <w:pPr>
        <w:tabs>
          <w:tab w:val="num" w:pos="0"/>
        </w:tabs>
        <w:ind w:left="927" w:hanging="360"/>
      </w:pPr>
      <w:rPr>
        <w:rFonts w:ascii="Arial" w:hAnsi="Arial" w:eastAsia="Microsoft YaHei" w:cs="Arial"/>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9">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20">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1">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2">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3">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5">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6">
    <w:lvl w:ilvl="0">
      <w:start w:val="4"/>
      <w:numFmt w:val="decimal"/>
      <w:lvlText w:val="%1."/>
      <w:lvlJc w:val="left"/>
      <w:pPr>
        <w:tabs>
          <w:tab w:val="num" w:pos="0"/>
        </w:tabs>
        <w:ind w:left="585" w:hanging="585"/>
      </w:pPr>
      <w:rPr/>
    </w:lvl>
    <w:lvl w:ilvl="1">
      <w:start w:val="2"/>
      <w:numFmt w:val="decimal"/>
      <w:lvlText w:val="%1.%2."/>
      <w:lvlJc w:val="left"/>
      <w:pPr>
        <w:tabs>
          <w:tab w:val="num" w:pos="0"/>
        </w:tabs>
        <w:ind w:left="1216" w:hanging="720"/>
      </w:pPr>
      <w:rPr/>
    </w:lvl>
    <w:lvl w:ilvl="2">
      <w:start w:val="1"/>
      <w:numFmt w:val="decimal"/>
      <w:lvlText w:val="%1.%2.%3."/>
      <w:lvlJc w:val="left"/>
      <w:pPr>
        <w:tabs>
          <w:tab w:val="num" w:pos="0"/>
        </w:tabs>
        <w:ind w:left="1712" w:hanging="720"/>
      </w:pPr>
      <w:rPr/>
    </w:lvl>
    <w:lvl w:ilvl="3">
      <w:start w:val="1"/>
      <w:numFmt w:val="decimal"/>
      <w:lvlText w:val="%1.%2.%3.%4."/>
      <w:lvlJc w:val="left"/>
      <w:pPr>
        <w:tabs>
          <w:tab w:val="num" w:pos="0"/>
        </w:tabs>
        <w:ind w:left="2568" w:hanging="1080"/>
      </w:pPr>
      <w:rPr/>
    </w:lvl>
    <w:lvl w:ilvl="4">
      <w:start w:val="1"/>
      <w:numFmt w:val="decimal"/>
      <w:lvlText w:val="%1.%2.%3.%4.%5."/>
      <w:lvlJc w:val="left"/>
      <w:pPr>
        <w:tabs>
          <w:tab w:val="num" w:pos="0"/>
        </w:tabs>
        <w:ind w:left="3064" w:hanging="1080"/>
      </w:pPr>
      <w:rPr/>
    </w:lvl>
    <w:lvl w:ilvl="5">
      <w:start w:val="1"/>
      <w:numFmt w:val="decimal"/>
      <w:lvlText w:val="%1.%2.%3.%4.%5.%6."/>
      <w:lvlJc w:val="left"/>
      <w:pPr>
        <w:tabs>
          <w:tab w:val="num" w:pos="0"/>
        </w:tabs>
        <w:ind w:left="3920" w:hanging="1440"/>
      </w:pPr>
      <w:rPr/>
    </w:lvl>
    <w:lvl w:ilvl="6">
      <w:start w:val="1"/>
      <w:numFmt w:val="decimal"/>
      <w:lvlText w:val="%1.%2.%3.%4.%5.%6.%7."/>
      <w:lvlJc w:val="left"/>
      <w:pPr>
        <w:tabs>
          <w:tab w:val="num" w:pos="0"/>
        </w:tabs>
        <w:ind w:left="4416" w:hanging="1440"/>
      </w:pPr>
      <w:rPr/>
    </w:lvl>
    <w:lvl w:ilvl="7">
      <w:start w:val="1"/>
      <w:numFmt w:val="decimal"/>
      <w:lvlText w:val="%1.%2.%3.%4.%5.%6.%7.%8."/>
      <w:lvlJc w:val="left"/>
      <w:pPr>
        <w:tabs>
          <w:tab w:val="num" w:pos="0"/>
        </w:tabs>
        <w:ind w:left="5272" w:hanging="1800"/>
      </w:pPr>
      <w:rPr/>
    </w:lvl>
    <w:lvl w:ilvl="8">
      <w:start w:val="1"/>
      <w:numFmt w:val="decimal"/>
      <w:lvlText w:val="%1.%2.%3.%4.%5.%6.%7.%8.%9."/>
      <w:lvlJc w:val="left"/>
      <w:pPr>
        <w:tabs>
          <w:tab w:val="num" w:pos="0"/>
        </w:tabs>
        <w:ind w:left="5768" w:hanging="1800"/>
      </w:pPr>
      <w:rPr/>
    </w:lvl>
  </w:abstractNum>
  <w:abstractNum w:abstractNumId="27">
    <w:lvl w:ilvl="0">
      <w:start w:val="5"/>
      <w:numFmt w:val="decimal"/>
      <w:lvlText w:val="%1."/>
      <w:lvlJc w:val="left"/>
      <w:pPr>
        <w:tabs>
          <w:tab w:val="num" w:pos="0"/>
        </w:tabs>
        <w:ind w:left="420" w:hanging="42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3152" w:hanging="720"/>
      </w:pPr>
      <w:rPr/>
    </w:lvl>
    <w:lvl w:ilvl="3">
      <w:start w:val="1"/>
      <w:numFmt w:val="decimal"/>
      <w:lvlText w:val="%1.%2.%3.%4."/>
      <w:lvlJc w:val="left"/>
      <w:pPr>
        <w:tabs>
          <w:tab w:val="num" w:pos="0"/>
        </w:tabs>
        <w:ind w:left="4728" w:hanging="1080"/>
      </w:pPr>
      <w:rPr/>
    </w:lvl>
    <w:lvl w:ilvl="4">
      <w:start w:val="1"/>
      <w:numFmt w:val="decimal"/>
      <w:lvlText w:val="%1.%2.%3.%4.%5."/>
      <w:lvlJc w:val="left"/>
      <w:pPr>
        <w:tabs>
          <w:tab w:val="num" w:pos="0"/>
        </w:tabs>
        <w:ind w:left="6304" w:hanging="1440"/>
      </w:pPr>
      <w:rPr/>
    </w:lvl>
    <w:lvl w:ilvl="5">
      <w:start w:val="1"/>
      <w:numFmt w:val="decimal"/>
      <w:lvlText w:val="%1.%2.%3.%4.%5.%6."/>
      <w:lvlJc w:val="left"/>
      <w:pPr>
        <w:tabs>
          <w:tab w:val="num" w:pos="0"/>
        </w:tabs>
        <w:ind w:left="7520" w:hanging="1440"/>
      </w:pPr>
      <w:rPr/>
    </w:lvl>
    <w:lvl w:ilvl="6">
      <w:start w:val="1"/>
      <w:numFmt w:val="decimal"/>
      <w:lvlText w:val="%1.%2.%3.%4.%5.%6.%7."/>
      <w:lvlJc w:val="left"/>
      <w:pPr>
        <w:tabs>
          <w:tab w:val="num" w:pos="0"/>
        </w:tabs>
        <w:ind w:left="9096" w:hanging="1800"/>
      </w:pPr>
      <w:rPr/>
    </w:lvl>
    <w:lvl w:ilvl="7">
      <w:start w:val="1"/>
      <w:numFmt w:val="decimal"/>
      <w:lvlText w:val="%1.%2.%3.%4.%5.%6.%7.%8."/>
      <w:lvlJc w:val="left"/>
      <w:pPr>
        <w:tabs>
          <w:tab w:val="num" w:pos="0"/>
        </w:tabs>
        <w:ind w:left="10312" w:hanging="1800"/>
      </w:pPr>
      <w:rPr/>
    </w:lvl>
    <w:lvl w:ilvl="8">
      <w:start w:val="1"/>
      <w:numFmt w:val="decimal"/>
      <w:lvlText w:val="%1.%2.%3.%4.%5.%6.%7.%8.%9."/>
      <w:lvlJc w:val="left"/>
      <w:pPr>
        <w:tabs>
          <w:tab w:val="num" w:pos="0"/>
        </w:tabs>
        <w:ind w:left="11888" w:hanging="2160"/>
      </w:pPr>
      <w:rPr/>
    </w:lvl>
  </w:abstractNum>
  <w:abstractNum w:abstractNumId="28">
    <w:lvl w:ilvl="0">
      <w:start w:val="1"/>
      <w:numFmt w:val="decimal"/>
      <w:lvlText w:val="%1."/>
      <w:lvlJc w:val="left"/>
      <w:pPr>
        <w:tabs>
          <w:tab w:val="num" w:pos="0"/>
        </w:tabs>
        <w:ind w:left="420" w:hanging="420"/>
      </w:pPr>
      <w:rPr/>
    </w:lvl>
    <w:lvl w:ilvl="1">
      <w:start w:val="1"/>
      <w:numFmt w:val="decimal"/>
      <w:lvlText w:val="%1.%2."/>
      <w:lvlJc w:val="left"/>
      <w:pPr>
        <w:tabs>
          <w:tab w:val="num" w:pos="0"/>
        </w:tabs>
        <w:ind w:left="2564" w:hanging="720"/>
      </w:pPr>
      <w:rPr/>
    </w:lvl>
    <w:lvl w:ilvl="2">
      <w:start w:val="1"/>
      <w:numFmt w:val="decimal"/>
      <w:lvlText w:val="%1.%2.%3."/>
      <w:lvlJc w:val="left"/>
      <w:pPr>
        <w:tabs>
          <w:tab w:val="num" w:pos="0"/>
        </w:tabs>
        <w:ind w:left="4408" w:hanging="720"/>
      </w:pPr>
      <w:rPr/>
    </w:lvl>
    <w:lvl w:ilvl="3">
      <w:start w:val="1"/>
      <w:numFmt w:val="decimal"/>
      <w:lvlText w:val="%1.%2.%3.%4."/>
      <w:lvlJc w:val="left"/>
      <w:pPr>
        <w:tabs>
          <w:tab w:val="num" w:pos="0"/>
        </w:tabs>
        <w:ind w:left="6612" w:hanging="1080"/>
      </w:pPr>
      <w:rPr/>
    </w:lvl>
    <w:lvl w:ilvl="4">
      <w:start w:val="1"/>
      <w:numFmt w:val="decimal"/>
      <w:lvlText w:val="%1.%2.%3.%4.%5."/>
      <w:lvlJc w:val="left"/>
      <w:pPr>
        <w:tabs>
          <w:tab w:val="num" w:pos="0"/>
        </w:tabs>
        <w:ind w:left="8816" w:hanging="1440"/>
      </w:pPr>
      <w:rPr/>
    </w:lvl>
    <w:lvl w:ilvl="5">
      <w:start w:val="1"/>
      <w:numFmt w:val="decimal"/>
      <w:lvlText w:val="%1.%2.%3.%4.%5.%6."/>
      <w:lvlJc w:val="left"/>
      <w:pPr>
        <w:tabs>
          <w:tab w:val="num" w:pos="0"/>
        </w:tabs>
        <w:ind w:left="10660" w:hanging="1440"/>
      </w:pPr>
      <w:rPr/>
    </w:lvl>
    <w:lvl w:ilvl="6">
      <w:start w:val="1"/>
      <w:numFmt w:val="decimal"/>
      <w:lvlText w:val="%1.%2.%3.%4.%5.%6.%7."/>
      <w:lvlJc w:val="left"/>
      <w:pPr>
        <w:tabs>
          <w:tab w:val="num" w:pos="0"/>
        </w:tabs>
        <w:ind w:left="12864" w:hanging="1800"/>
      </w:pPr>
      <w:rPr/>
    </w:lvl>
    <w:lvl w:ilvl="7">
      <w:start w:val="1"/>
      <w:numFmt w:val="decimal"/>
      <w:lvlText w:val="%1.%2.%3.%4.%5.%6.%7.%8."/>
      <w:lvlJc w:val="left"/>
      <w:pPr>
        <w:tabs>
          <w:tab w:val="num" w:pos="0"/>
        </w:tabs>
        <w:ind w:left="14708" w:hanging="1800"/>
      </w:pPr>
      <w:rPr/>
    </w:lvl>
    <w:lvl w:ilvl="8">
      <w:start w:val="1"/>
      <w:numFmt w:val="decimal"/>
      <w:lvlText w:val="%1.%2.%3.%4.%5.%6.%7.%8.%9."/>
      <w:lvlJc w:val="left"/>
      <w:pPr>
        <w:tabs>
          <w:tab w:val="num" w:pos="0"/>
        </w:tabs>
        <w:ind w:left="16912" w:hanging="2160"/>
      </w:pPr>
      <w:rPr/>
    </w:lvl>
  </w:abstractNum>
  <w:abstractNum w:abstractNumId="29">
    <w:lvl w:ilvl="0">
      <w:start w:val="2"/>
      <w:numFmt w:val="decimal"/>
      <w:lvlText w:val="%1."/>
      <w:lvlJc w:val="left"/>
      <w:pPr>
        <w:tabs>
          <w:tab w:val="num" w:pos="0"/>
        </w:tabs>
        <w:ind w:left="420" w:hanging="420"/>
      </w:pPr>
      <w:rPr/>
    </w:lvl>
    <w:lvl w:ilvl="1">
      <w:start w:val="1"/>
      <w:numFmt w:val="decimal"/>
      <w:lvlText w:val="%1.%2."/>
      <w:lvlJc w:val="left"/>
      <w:pPr>
        <w:tabs>
          <w:tab w:val="num" w:pos="0"/>
        </w:tabs>
        <w:ind w:left="3284" w:hanging="720"/>
      </w:pPr>
      <w:rPr/>
    </w:lvl>
    <w:lvl w:ilvl="2">
      <w:start w:val="1"/>
      <w:numFmt w:val="decimal"/>
      <w:lvlText w:val="%1.%2.%3."/>
      <w:lvlJc w:val="left"/>
      <w:pPr>
        <w:tabs>
          <w:tab w:val="num" w:pos="0"/>
        </w:tabs>
        <w:ind w:left="5848" w:hanging="720"/>
      </w:pPr>
      <w:rPr/>
    </w:lvl>
    <w:lvl w:ilvl="3">
      <w:start w:val="1"/>
      <w:numFmt w:val="decimal"/>
      <w:lvlText w:val="%1.%2.%3.%4."/>
      <w:lvlJc w:val="left"/>
      <w:pPr>
        <w:tabs>
          <w:tab w:val="num" w:pos="0"/>
        </w:tabs>
        <w:ind w:left="8772" w:hanging="1080"/>
      </w:pPr>
      <w:rPr/>
    </w:lvl>
    <w:lvl w:ilvl="4">
      <w:start w:val="1"/>
      <w:numFmt w:val="decimal"/>
      <w:lvlText w:val="%1.%2.%3.%4.%5."/>
      <w:lvlJc w:val="left"/>
      <w:pPr>
        <w:tabs>
          <w:tab w:val="num" w:pos="0"/>
        </w:tabs>
        <w:ind w:left="11696" w:hanging="1440"/>
      </w:pPr>
      <w:rPr/>
    </w:lvl>
    <w:lvl w:ilvl="5">
      <w:start w:val="1"/>
      <w:numFmt w:val="decimal"/>
      <w:lvlText w:val="%1.%2.%3.%4.%5.%6."/>
      <w:lvlJc w:val="left"/>
      <w:pPr>
        <w:tabs>
          <w:tab w:val="num" w:pos="0"/>
        </w:tabs>
        <w:ind w:left="14260" w:hanging="1440"/>
      </w:pPr>
      <w:rPr/>
    </w:lvl>
    <w:lvl w:ilvl="6">
      <w:start w:val="1"/>
      <w:numFmt w:val="decimal"/>
      <w:lvlText w:val="%1.%2.%3.%4.%5.%6.%7."/>
      <w:lvlJc w:val="left"/>
      <w:pPr>
        <w:tabs>
          <w:tab w:val="num" w:pos="0"/>
        </w:tabs>
        <w:ind w:left="17184" w:hanging="1800"/>
      </w:pPr>
      <w:rPr/>
    </w:lvl>
    <w:lvl w:ilvl="7">
      <w:start w:val="1"/>
      <w:numFmt w:val="decimal"/>
      <w:lvlText w:val="%1.%2.%3.%4.%5.%6.%7.%8."/>
      <w:lvlJc w:val="left"/>
      <w:pPr>
        <w:tabs>
          <w:tab w:val="num" w:pos="0"/>
        </w:tabs>
        <w:ind w:left="19748" w:hanging="1800"/>
      </w:pPr>
      <w:rPr/>
    </w:lvl>
    <w:lvl w:ilvl="8">
      <w:start w:val="1"/>
      <w:numFmt w:val="decimal"/>
      <w:lvlText w:val="%1.%2.%3.%4.%5.%6.%7.%8.%9."/>
      <w:lvlJc w:val="left"/>
      <w:pPr>
        <w:tabs>
          <w:tab w:val="num" w:pos="0"/>
        </w:tabs>
        <w:ind w:left="22672" w:hanging="2160"/>
      </w:pPr>
      <w:rPr/>
    </w:lvl>
  </w:abstractNum>
  <w:abstractNum w:abstractNumId="30">
    <w:lvl w:ilvl="0">
      <w:start w:val="3"/>
      <w:numFmt w:val="decimal"/>
      <w:lvlText w:val="%1."/>
      <w:lvlJc w:val="left"/>
      <w:pPr>
        <w:tabs>
          <w:tab w:val="num" w:pos="0"/>
        </w:tabs>
        <w:ind w:left="420" w:hanging="420"/>
      </w:pPr>
      <w:rPr/>
    </w:lvl>
    <w:lvl w:ilvl="1">
      <w:start w:val="2"/>
      <w:numFmt w:val="decimal"/>
      <w:lvlText w:val="%1.%2."/>
      <w:lvlJc w:val="left"/>
      <w:pPr>
        <w:tabs>
          <w:tab w:val="num" w:pos="0"/>
        </w:tabs>
        <w:ind w:left="3664" w:hanging="720"/>
      </w:pPr>
      <w:rPr/>
    </w:lvl>
    <w:lvl w:ilvl="2">
      <w:start w:val="1"/>
      <w:numFmt w:val="decimal"/>
      <w:lvlText w:val="%1.%2.%3."/>
      <w:lvlJc w:val="left"/>
      <w:pPr>
        <w:tabs>
          <w:tab w:val="num" w:pos="0"/>
        </w:tabs>
        <w:ind w:left="5848" w:hanging="720"/>
      </w:pPr>
      <w:rPr/>
    </w:lvl>
    <w:lvl w:ilvl="3">
      <w:start w:val="1"/>
      <w:numFmt w:val="decimal"/>
      <w:lvlText w:val="%1.%2.%3.%4."/>
      <w:lvlJc w:val="left"/>
      <w:pPr>
        <w:tabs>
          <w:tab w:val="num" w:pos="0"/>
        </w:tabs>
        <w:ind w:left="8772" w:hanging="1080"/>
      </w:pPr>
      <w:rPr/>
    </w:lvl>
    <w:lvl w:ilvl="4">
      <w:start w:val="1"/>
      <w:numFmt w:val="decimal"/>
      <w:lvlText w:val="%1.%2.%3.%4.%5."/>
      <w:lvlJc w:val="left"/>
      <w:pPr>
        <w:tabs>
          <w:tab w:val="num" w:pos="0"/>
        </w:tabs>
        <w:ind w:left="11696" w:hanging="1440"/>
      </w:pPr>
      <w:rPr/>
    </w:lvl>
    <w:lvl w:ilvl="5">
      <w:start w:val="1"/>
      <w:numFmt w:val="decimal"/>
      <w:lvlText w:val="%1.%2.%3.%4.%5.%6."/>
      <w:lvlJc w:val="left"/>
      <w:pPr>
        <w:tabs>
          <w:tab w:val="num" w:pos="0"/>
        </w:tabs>
        <w:ind w:left="14260" w:hanging="1440"/>
      </w:pPr>
      <w:rPr/>
    </w:lvl>
    <w:lvl w:ilvl="6">
      <w:start w:val="1"/>
      <w:numFmt w:val="decimal"/>
      <w:lvlText w:val="%1.%2.%3.%4.%5.%6.%7."/>
      <w:lvlJc w:val="left"/>
      <w:pPr>
        <w:tabs>
          <w:tab w:val="num" w:pos="0"/>
        </w:tabs>
        <w:ind w:left="17184" w:hanging="1800"/>
      </w:pPr>
      <w:rPr/>
    </w:lvl>
    <w:lvl w:ilvl="7">
      <w:start w:val="1"/>
      <w:numFmt w:val="decimal"/>
      <w:lvlText w:val="%1.%2.%3.%4.%5.%6.%7.%8."/>
      <w:lvlJc w:val="left"/>
      <w:pPr>
        <w:tabs>
          <w:tab w:val="num" w:pos="0"/>
        </w:tabs>
        <w:ind w:left="19748" w:hanging="1800"/>
      </w:pPr>
      <w:rPr/>
    </w:lvl>
    <w:lvl w:ilvl="8">
      <w:start w:val="1"/>
      <w:numFmt w:val="decimal"/>
      <w:lvlText w:val="%1.%2.%3.%4.%5.%6.%7.%8.%9."/>
      <w:lvlJc w:val="left"/>
      <w:pPr>
        <w:tabs>
          <w:tab w:val="num" w:pos="0"/>
        </w:tabs>
        <w:ind w:left="22672" w:hanging="2160"/>
      </w:pPr>
      <w:rPr/>
    </w:lvl>
  </w:abstractNum>
  <w:abstractNum w:abstractNumId="31">
    <w:lvl w:ilvl="0">
      <w:start w:val="4"/>
      <w:numFmt w:val="decimal"/>
      <w:lvlText w:val="%1."/>
      <w:lvlJc w:val="left"/>
      <w:pPr>
        <w:tabs>
          <w:tab w:val="num" w:pos="0"/>
        </w:tabs>
        <w:ind w:left="390" w:hanging="39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32">
    <w:lvl w:ilvl="0">
      <w:start w:val="6"/>
      <w:numFmt w:val="decimal"/>
      <w:lvlText w:val="%1."/>
      <w:lvlJc w:val="left"/>
      <w:pPr>
        <w:tabs>
          <w:tab w:val="num" w:pos="0"/>
        </w:tabs>
        <w:ind w:left="420" w:hanging="420"/>
      </w:pPr>
      <w:rPr/>
    </w:lvl>
    <w:lvl w:ilvl="1">
      <w:start w:val="1"/>
      <w:numFmt w:val="decimal"/>
      <w:lvlText w:val="%1.%2."/>
      <w:lvlJc w:val="left"/>
      <w:pPr>
        <w:tabs>
          <w:tab w:val="num" w:pos="0"/>
        </w:tabs>
        <w:ind w:left="2422" w:hanging="720"/>
      </w:pPr>
      <w:rPr/>
    </w:lvl>
    <w:lvl w:ilvl="2">
      <w:start w:val="1"/>
      <w:numFmt w:val="decimal"/>
      <w:lvlText w:val="%1.%2.%3."/>
      <w:lvlJc w:val="left"/>
      <w:pPr>
        <w:tabs>
          <w:tab w:val="num" w:pos="0"/>
        </w:tabs>
        <w:ind w:left="2706" w:hanging="720"/>
      </w:pPr>
      <w:rPr/>
    </w:lvl>
    <w:lvl w:ilvl="3">
      <w:start w:val="1"/>
      <w:numFmt w:val="decimal"/>
      <w:lvlText w:val="%1.%2.%3.%4."/>
      <w:lvlJc w:val="left"/>
      <w:pPr>
        <w:tabs>
          <w:tab w:val="num" w:pos="0"/>
        </w:tabs>
        <w:ind w:left="4059" w:hanging="1080"/>
      </w:pPr>
      <w:rPr/>
    </w:lvl>
    <w:lvl w:ilvl="4">
      <w:start w:val="1"/>
      <w:numFmt w:val="decimal"/>
      <w:lvlText w:val="%1.%2.%3.%4.%5."/>
      <w:lvlJc w:val="left"/>
      <w:pPr>
        <w:tabs>
          <w:tab w:val="num" w:pos="0"/>
        </w:tabs>
        <w:ind w:left="5412" w:hanging="1440"/>
      </w:pPr>
      <w:rPr/>
    </w:lvl>
    <w:lvl w:ilvl="5">
      <w:start w:val="1"/>
      <w:numFmt w:val="decimal"/>
      <w:lvlText w:val="%1.%2.%3.%4.%5.%6."/>
      <w:lvlJc w:val="left"/>
      <w:pPr>
        <w:tabs>
          <w:tab w:val="num" w:pos="0"/>
        </w:tabs>
        <w:ind w:left="6405" w:hanging="1440"/>
      </w:pPr>
      <w:rPr/>
    </w:lvl>
    <w:lvl w:ilvl="6">
      <w:start w:val="1"/>
      <w:numFmt w:val="decimal"/>
      <w:lvlText w:val="%1.%2.%3.%4.%5.%6.%7."/>
      <w:lvlJc w:val="left"/>
      <w:pPr>
        <w:tabs>
          <w:tab w:val="num" w:pos="0"/>
        </w:tabs>
        <w:ind w:left="7758" w:hanging="1800"/>
      </w:pPr>
      <w:rPr/>
    </w:lvl>
    <w:lvl w:ilvl="7">
      <w:start w:val="1"/>
      <w:numFmt w:val="decimal"/>
      <w:lvlText w:val="%1.%2.%3.%4.%5.%6.%7.%8."/>
      <w:lvlJc w:val="left"/>
      <w:pPr>
        <w:tabs>
          <w:tab w:val="num" w:pos="0"/>
        </w:tabs>
        <w:ind w:left="8751" w:hanging="1800"/>
      </w:pPr>
      <w:rPr/>
    </w:lvl>
    <w:lvl w:ilvl="8">
      <w:start w:val="1"/>
      <w:numFmt w:val="decimal"/>
      <w:lvlText w:val="%1.%2.%3.%4.%5.%6.%7.%8.%9."/>
      <w:lvlJc w:val="left"/>
      <w:pPr>
        <w:tabs>
          <w:tab w:val="num" w:pos="0"/>
        </w:tabs>
        <w:ind w:left="10104" w:hanging="2160"/>
      </w:pPr>
      <w:rPr/>
    </w:lvl>
  </w:abstractNum>
  <w:abstractNum w:abstractNumId="33">
    <w:lvl w:ilvl="0">
      <w:start w:val="1"/>
      <w:numFmt w:val="decimal"/>
      <w:lvlText w:val="%1."/>
      <w:lvlJc w:val="left"/>
      <w:pPr>
        <w:tabs>
          <w:tab w:val="num" w:pos="0"/>
        </w:tabs>
        <w:ind w:left="360" w:hanging="360"/>
      </w:pPr>
      <w:rPr/>
    </w:lvl>
    <w:lvl w:ilvl="1">
      <w:start w:val="1"/>
      <w:numFmt w:val="decimal"/>
      <w:lvlText w:val="%1.%2."/>
      <w:lvlJc w:val="left"/>
      <w:pPr>
        <w:tabs>
          <w:tab w:val="num" w:pos="0"/>
        </w:tabs>
        <w:ind w:left="716"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34">
    <w:lvl w:ilvl="0">
      <w:start w:val="1"/>
      <w:numFmt w:val="decimal"/>
      <w:lvlText w:val="Часть %1."/>
      <w:lvlJc w:val="left"/>
      <w:pPr>
        <w:tabs>
          <w:tab w:val="num" w:pos="0"/>
        </w:tabs>
        <w:ind w:left="2062" w:hanging="360"/>
      </w:pPr>
      <w:rPr/>
    </w:lvl>
    <w:lvl w:ilvl="1">
      <w:start w:val="1"/>
      <w:numFmt w:val="decimal"/>
      <w:lvlText w:val="%1.%2."/>
      <w:lvlJc w:val="left"/>
      <w:pPr>
        <w:tabs>
          <w:tab w:val="num" w:pos="0"/>
        </w:tabs>
        <w:ind w:left="792" w:hanging="432"/>
      </w:pPr>
      <w:rPr>
        <w:lang w:val="ru-RU"/>
      </w:rPr>
    </w:lvl>
    <w:lvl w:ilvl="2">
      <w:start w:val="1"/>
      <w:numFmt w:val="decimal"/>
      <w:lvlText w:val="%1.%2.%3."/>
      <w:lvlJc w:val="left"/>
      <w:pPr>
        <w:tabs>
          <w:tab w:val="num" w:pos="0"/>
        </w:tabs>
        <w:ind w:left="1497"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35">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6">
    <w:lvl w:ilvl="0">
      <w:start w:val="1"/>
      <w:numFmt w:val="decimal"/>
      <w:lvlText w:val="%1."/>
      <w:lvlJc w:val="left"/>
      <w:pPr>
        <w:tabs>
          <w:tab w:val="num" w:pos="0"/>
        </w:tabs>
        <w:ind w:left="585" w:hanging="585"/>
      </w:pPr>
      <w:rPr/>
    </w:lvl>
    <w:lvl w:ilvl="1">
      <w:start w:val="2"/>
      <w:numFmt w:val="decimal"/>
      <w:lvlText w:val="%1.%2."/>
      <w:lvlJc w:val="left"/>
      <w:pPr>
        <w:tabs>
          <w:tab w:val="num" w:pos="0"/>
        </w:tabs>
        <w:ind w:left="1854" w:hanging="720"/>
      </w:pPr>
      <w:rPr/>
    </w:lvl>
    <w:lvl w:ilvl="2">
      <w:start w:val="1"/>
      <w:numFmt w:val="decimal"/>
      <w:lvlText w:val="%1.%2.%3."/>
      <w:lvlJc w:val="left"/>
      <w:pPr>
        <w:tabs>
          <w:tab w:val="num" w:pos="0"/>
        </w:tabs>
        <w:ind w:left="1712" w:hanging="720"/>
      </w:pPr>
      <w:rPr/>
    </w:lvl>
    <w:lvl w:ilvl="3">
      <w:start w:val="1"/>
      <w:numFmt w:val="decimal"/>
      <w:lvlText w:val="%1.%2.%3.%4."/>
      <w:lvlJc w:val="left"/>
      <w:pPr>
        <w:tabs>
          <w:tab w:val="num" w:pos="0"/>
        </w:tabs>
        <w:ind w:left="2568" w:hanging="1080"/>
      </w:pPr>
      <w:rPr/>
    </w:lvl>
    <w:lvl w:ilvl="4">
      <w:start w:val="1"/>
      <w:numFmt w:val="decimal"/>
      <w:lvlText w:val="%1.%2.%3.%4.%5."/>
      <w:lvlJc w:val="left"/>
      <w:pPr>
        <w:tabs>
          <w:tab w:val="num" w:pos="0"/>
        </w:tabs>
        <w:ind w:left="3064" w:hanging="1080"/>
      </w:pPr>
      <w:rPr/>
    </w:lvl>
    <w:lvl w:ilvl="5">
      <w:start w:val="1"/>
      <w:numFmt w:val="decimal"/>
      <w:lvlText w:val="%1.%2.%3.%4.%5.%6."/>
      <w:lvlJc w:val="left"/>
      <w:pPr>
        <w:tabs>
          <w:tab w:val="num" w:pos="0"/>
        </w:tabs>
        <w:ind w:left="3920" w:hanging="1440"/>
      </w:pPr>
      <w:rPr/>
    </w:lvl>
    <w:lvl w:ilvl="6">
      <w:start w:val="1"/>
      <w:numFmt w:val="decimal"/>
      <w:lvlText w:val="%1.%2.%3.%4.%5.%6.%7."/>
      <w:lvlJc w:val="left"/>
      <w:pPr>
        <w:tabs>
          <w:tab w:val="num" w:pos="0"/>
        </w:tabs>
        <w:ind w:left="4416" w:hanging="1440"/>
      </w:pPr>
      <w:rPr/>
    </w:lvl>
    <w:lvl w:ilvl="7">
      <w:start w:val="1"/>
      <w:numFmt w:val="decimal"/>
      <w:lvlText w:val="%1.%2.%3.%4.%5.%6.%7.%8."/>
      <w:lvlJc w:val="left"/>
      <w:pPr>
        <w:tabs>
          <w:tab w:val="num" w:pos="0"/>
        </w:tabs>
        <w:ind w:left="5272" w:hanging="1800"/>
      </w:pPr>
      <w:rPr/>
    </w:lvl>
    <w:lvl w:ilvl="8">
      <w:start w:val="1"/>
      <w:numFmt w:val="decimal"/>
      <w:lvlText w:val="%1.%2.%3.%4.%5.%6.%7.%8.%9."/>
      <w:lvlJc w:val="left"/>
      <w:pPr>
        <w:tabs>
          <w:tab w:val="num" w:pos="0"/>
        </w:tabs>
        <w:ind w:left="5768" w:hanging="18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bering>
</file>

<file path=word/settings.xml><?xml version="1.0" encoding="utf-8"?>
<w:settings xmlns:w="http://schemas.openxmlformats.org/wordprocessingml/2006/main">
  <w:zoom w:percent="100"/>
  <w:embedSystemFonts/>
  <w:defaultTabStop w:val="709"/>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uiPriority="99"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uiPriority="99"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88366f"/>
    <w:pPr>
      <w:widowControl w:val="false"/>
      <w:bidi w:val="0"/>
      <w:spacing w:before="120" w:after="120"/>
      <w:ind w:firstLine="567"/>
      <w:jc w:val="both"/>
      <w:textAlignment w:val="baseline"/>
    </w:pPr>
    <w:rPr>
      <w:rFonts w:ascii="Arial" w:hAnsi="Arial" w:eastAsia="Microsoft YaHei" w:cs="Times New Roman"/>
      <w:color w:val="auto"/>
      <w:spacing w:val="-5"/>
      <w:kern w:val="0"/>
      <w:sz w:val="22"/>
      <w:szCs w:val="22"/>
      <w:lang w:eastAsia="en-US" w:val="ru-RU" w:bidi="ar-SA"/>
    </w:rPr>
  </w:style>
  <w:style w:type="paragraph" w:styleId="Heading1">
    <w:name w:val="heading 1"/>
    <w:basedOn w:val="Normal"/>
    <w:next w:val="Normal"/>
    <w:link w:val="1"/>
    <w:qFormat/>
    <w:rsid w:val="009d6c4f"/>
    <w:pPr>
      <w:keepNext w:val="true"/>
      <w:keepLines/>
      <w:pageBreakBefore/>
      <w:widowControl/>
      <w:numPr>
        <w:ilvl w:val="0"/>
        <w:numId w:val="1"/>
      </w:numPr>
      <w:pBdr>
        <w:top w:val="single" w:sz="48" w:space="3" w:color="FFFFFF"/>
        <w:left w:val="single" w:sz="6" w:space="3" w:color="FFFFFF"/>
        <w:bottom w:val="single" w:sz="6" w:space="3" w:color="FFFFFF"/>
      </w:pBdr>
      <w:spacing w:lineRule="atLeast" w:line="240"/>
      <w:jc w:val="left"/>
      <w:outlineLvl w:val="0"/>
    </w:pPr>
    <w:rPr>
      <w:rFonts w:ascii="Arial Black" w:hAnsi="Arial Black"/>
      <w:caps/>
      <w:spacing w:val="-8"/>
      <w:kern w:val="2"/>
      <w:szCs w:val="24"/>
    </w:rPr>
  </w:style>
  <w:style w:type="paragraph" w:styleId="Heading2">
    <w:name w:val="heading 2"/>
    <w:basedOn w:val="Normal"/>
    <w:next w:val="Normal"/>
    <w:link w:val="2"/>
    <w:qFormat/>
    <w:rsid w:val="00ba77f9"/>
    <w:pPr>
      <w:numPr>
        <w:ilvl w:val="1"/>
        <w:numId w:val="1"/>
      </w:numPr>
      <w:suppressAutoHyphens w:val="true"/>
      <w:spacing w:before="240" w:after="120"/>
      <w:outlineLvl w:val="1"/>
    </w:pPr>
    <w:rPr>
      <w:rFonts w:ascii="Arial Black" w:hAnsi="Arial Black"/>
      <w:spacing w:val="-10"/>
      <w:kern w:val="2"/>
      <w:sz w:val="24"/>
      <w:szCs w:val="24"/>
    </w:rPr>
  </w:style>
  <w:style w:type="paragraph" w:styleId="Heading3">
    <w:name w:val="heading 3"/>
    <w:basedOn w:val="Normal"/>
    <w:next w:val="Normal"/>
    <w:link w:val="3"/>
    <w:qFormat/>
    <w:rsid w:val="00754a67"/>
    <w:pPr>
      <w:numPr>
        <w:ilvl w:val="2"/>
        <w:numId w:val="1"/>
      </w:numPr>
      <w:spacing w:lineRule="atLeast" w:line="240" w:before="240" w:after="120"/>
      <w:outlineLvl w:val="2"/>
    </w:pPr>
    <w:rPr>
      <w:b/>
      <w:spacing w:val="-10"/>
      <w:kern w:val="2"/>
    </w:rPr>
  </w:style>
  <w:style w:type="paragraph" w:styleId="Heading4">
    <w:name w:val="heading 4"/>
    <w:basedOn w:val="Normal"/>
    <w:next w:val="Normal"/>
    <w:link w:val="4"/>
    <w:qFormat/>
    <w:rsid w:val="0034150a"/>
    <w:pPr>
      <w:keepNext w:val="true"/>
      <w:keepLines/>
      <w:numPr>
        <w:ilvl w:val="3"/>
        <w:numId w:val="1"/>
      </w:numPr>
      <w:spacing w:lineRule="atLeast" w:line="240" w:before="240" w:after="120"/>
      <w:outlineLvl w:val="3"/>
    </w:pPr>
    <w:rPr>
      <w:b/>
      <w:i/>
      <w:spacing w:val="-4"/>
      <w:kern w:val="2"/>
    </w:rPr>
  </w:style>
  <w:style w:type="paragraph" w:styleId="Heading5">
    <w:name w:val="heading 5"/>
    <w:basedOn w:val="Normal"/>
    <w:next w:val="Normal"/>
    <w:link w:val="5"/>
    <w:qFormat/>
    <w:rsid w:val="00ad6b25"/>
    <w:pPr>
      <w:outlineLvl w:val="4"/>
    </w:pPr>
    <w:rPr/>
  </w:style>
  <w:style w:type="paragraph" w:styleId="Heading6">
    <w:name w:val="heading 6"/>
    <w:basedOn w:val="Normal"/>
    <w:next w:val="Normal"/>
    <w:link w:val="6"/>
    <w:qFormat/>
    <w:rsid w:val="00b74953"/>
    <w:pPr>
      <w:keepNext w:val="true"/>
      <w:keepLines/>
      <w:spacing w:lineRule="atLeast" w:line="220" w:before="140" w:after="120"/>
      <w:outlineLvl w:val="5"/>
    </w:pPr>
    <w:rPr>
      <w:b/>
      <w:i/>
      <w:spacing w:val="-4"/>
      <w:kern w:val="2"/>
      <w:szCs w:val="28"/>
    </w:rPr>
  </w:style>
  <w:style w:type="paragraph" w:styleId="Heading7">
    <w:name w:val="heading 7"/>
    <w:basedOn w:val="Normal"/>
    <w:next w:val="Normal"/>
    <w:link w:val="7"/>
    <w:qFormat/>
    <w:rsid w:val="00b74953"/>
    <w:pPr>
      <w:keepNext w:val="true"/>
      <w:keepLines/>
      <w:spacing w:lineRule="atLeast" w:line="220" w:before="140" w:after="120"/>
      <w:outlineLvl w:val="6"/>
    </w:pPr>
    <w:rPr>
      <w:b/>
      <w:spacing w:val="-4"/>
      <w:kern w:val="2"/>
      <w:szCs w:val="28"/>
    </w:rPr>
  </w:style>
  <w:style w:type="paragraph" w:styleId="Heading8">
    <w:name w:val="heading 8"/>
    <w:basedOn w:val="Normal"/>
    <w:next w:val="Normal"/>
    <w:link w:val="8"/>
    <w:qFormat/>
    <w:rsid w:val="00b74953"/>
    <w:pPr>
      <w:keepNext w:val="true"/>
      <w:keepLines/>
      <w:spacing w:lineRule="atLeast" w:line="220" w:before="140" w:after="120"/>
      <w:outlineLvl w:val="7"/>
    </w:pPr>
    <w:rPr>
      <w:b/>
      <w:i/>
      <w:spacing w:val="-4"/>
      <w:kern w:val="2"/>
      <w:sz w:val="18"/>
      <w:szCs w:val="28"/>
    </w:rPr>
  </w:style>
  <w:style w:type="paragraph" w:styleId="Heading9">
    <w:name w:val="heading 9"/>
    <w:basedOn w:val="Normal"/>
    <w:next w:val="Normal"/>
    <w:link w:val="9"/>
    <w:qFormat/>
    <w:rsid w:val="00754a67"/>
    <w:pPr>
      <w:keepNext w:val="true"/>
      <w:keepLines/>
      <w:spacing w:lineRule="atLeast" w:line="220" w:before="140" w:after="120"/>
      <w:outlineLvl w:val="8"/>
    </w:pPr>
    <w:rPr>
      <w:b/>
      <w:spacing w:val="-4"/>
      <w:kern w:val="2"/>
      <w:sz w:val="24"/>
      <w:szCs w:val="28"/>
    </w:rPr>
  </w:style>
  <w:style w:type="character" w:styleId="DefaultParagraphFont" w:default="1">
    <w:name w:val="Default Paragraph Font"/>
    <w:uiPriority w:val="1"/>
    <w:semiHidden/>
    <w:unhideWhenUsed/>
    <w:qFormat/>
    <w:rPr/>
  </w:style>
  <w:style w:type="character" w:styleId="1" w:customStyle="1">
    <w:name w:val="Заголовок 1 Знак"/>
    <w:basedOn w:val="DefaultParagraphFont"/>
    <w:qFormat/>
    <w:rsid w:val="009d6c4f"/>
    <w:rPr>
      <w:rFonts w:ascii="Arial Black" w:hAnsi="Arial Black" w:eastAsia="Microsoft YaHei"/>
      <w:caps/>
      <w:spacing w:val="-8"/>
      <w:kern w:val="2"/>
      <w:sz w:val="22"/>
      <w:szCs w:val="24"/>
      <w:lang w:eastAsia="en-US"/>
    </w:rPr>
  </w:style>
  <w:style w:type="character" w:styleId="2" w:customStyle="1">
    <w:name w:val="Заголовок 2 Знак"/>
    <w:basedOn w:val="DefaultParagraphFont"/>
    <w:qFormat/>
    <w:rsid w:val="00ba77f9"/>
    <w:rPr>
      <w:rFonts w:ascii="Arial Black" w:hAnsi="Arial Black" w:eastAsia="Microsoft YaHei"/>
      <w:spacing w:val="-10"/>
      <w:kern w:val="2"/>
      <w:sz w:val="24"/>
      <w:szCs w:val="24"/>
      <w:lang w:eastAsia="en-US"/>
    </w:rPr>
  </w:style>
  <w:style w:type="character" w:styleId="3" w:customStyle="1">
    <w:name w:val="Заголовок 3 Знак"/>
    <w:basedOn w:val="DefaultParagraphFont"/>
    <w:qFormat/>
    <w:rsid w:val="00754a67"/>
    <w:rPr>
      <w:rFonts w:ascii="Arial" w:hAnsi="Arial" w:eastAsia="Microsoft YaHei"/>
      <w:b/>
      <w:spacing w:val="-10"/>
      <w:kern w:val="2"/>
      <w:sz w:val="22"/>
      <w:szCs w:val="22"/>
      <w:lang w:eastAsia="en-US"/>
    </w:rPr>
  </w:style>
  <w:style w:type="character" w:styleId="4" w:customStyle="1">
    <w:name w:val="Заголовок 4 Знак"/>
    <w:basedOn w:val="DefaultParagraphFont"/>
    <w:qFormat/>
    <w:rsid w:val="0034150a"/>
    <w:rPr>
      <w:rFonts w:ascii="Arial" w:hAnsi="Arial" w:eastAsia="Microsoft YaHei"/>
      <w:b/>
      <w:i/>
      <w:spacing w:val="-4"/>
      <w:kern w:val="2"/>
      <w:sz w:val="22"/>
      <w:szCs w:val="22"/>
      <w:lang w:eastAsia="en-US"/>
    </w:rPr>
  </w:style>
  <w:style w:type="character" w:styleId="5" w:customStyle="1">
    <w:name w:val="Заголовок 5 Знак"/>
    <w:basedOn w:val="DefaultParagraphFont"/>
    <w:qFormat/>
    <w:rsid w:val="00ad6b25"/>
    <w:rPr>
      <w:spacing w:val="-5"/>
      <w:sz w:val="28"/>
      <w:szCs w:val="22"/>
      <w:lang w:eastAsia="en-US"/>
    </w:rPr>
  </w:style>
  <w:style w:type="character" w:styleId="6" w:customStyle="1">
    <w:name w:val="Заголовок 6 Знак"/>
    <w:basedOn w:val="DefaultParagraphFont"/>
    <w:qFormat/>
    <w:rsid w:val="00867325"/>
    <w:rPr>
      <w:rFonts w:ascii="Arial" w:hAnsi="Arial"/>
      <w:b/>
      <w:i/>
      <w:spacing w:val="-4"/>
      <w:kern w:val="2"/>
      <w:szCs w:val="28"/>
      <w:lang w:eastAsia="en-US"/>
    </w:rPr>
  </w:style>
  <w:style w:type="character" w:styleId="7" w:customStyle="1">
    <w:name w:val="Заголовок 7 Знак"/>
    <w:basedOn w:val="DefaultParagraphFont"/>
    <w:qFormat/>
    <w:rsid w:val="00867325"/>
    <w:rPr>
      <w:rFonts w:ascii="Arial" w:hAnsi="Arial"/>
      <w:b/>
      <w:spacing w:val="-4"/>
      <w:kern w:val="2"/>
      <w:szCs w:val="28"/>
      <w:lang w:eastAsia="en-US"/>
    </w:rPr>
  </w:style>
  <w:style w:type="character" w:styleId="8" w:customStyle="1">
    <w:name w:val="Заголовок 8 Знак"/>
    <w:basedOn w:val="DefaultParagraphFont"/>
    <w:qFormat/>
    <w:rsid w:val="00867325"/>
    <w:rPr>
      <w:rFonts w:ascii="Arial" w:hAnsi="Arial"/>
      <w:b/>
      <w:i/>
      <w:spacing w:val="-4"/>
      <w:kern w:val="2"/>
      <w:sz w:val="18"/>
      <w:szCs w:val="28"/>
      <w:lang w:eastAsia="en-US"/>
    </w:rPr>
  </w:style>
  <w:style w:type="character" w:styleId="9" w:customStyle="1">
    <w:name w:val="Заголовок 9 Знак"/>
    <w:basedOn w:val="DefaultParagraphFont"/>
    <w:qFormat/>
    <w:rsid w:val="00754a67"/>
    <w:rPr>
      <w:rFonts w:ascii="Arial" w:hAnsi="Arial" w:eastAsia="Microsoft YaHei"/>
      <w:b/>
      <w:spacing w:val="-4"/>
      <w:kern w:val="2"/>
      <w:sz w:val="24"/>
      <w:szCs w:val="28"/>
      <w:lang w:eastAsia="en-US"/>
    </w:rPr>
  </w:style>
  <w:style w:type="character" w:styleId="Style5" w:customStyle="1">
    <w:name w:val="Текст выноски Знак"/>
    <w:basedOn w:val="DefaultParagraphFont"/>
    <w:link w:val="BalloonText"/>
    <w:qFormat/>
    <w:rsid w:val="00867325"/>
    <w:rPr>
      <w:rFonts w:ascii="Tahoma" w:hAnsi="Tahoma" w:cs="Tahoma"/>
      <w:spacing w:val="-5"/>
      <w:sz w:val="16"/>
      <w:szCs w:val="16"/>
      <w:lang w:val="en-US" w:eastAsia="en-US" w:bidi="ar-SA"/>
    </w:rPr>
  </w:style>
  <w:style w:type="character" w:styleId="21" w:customStyle="1">
    <w:name w:val="Список 2 Знак"/>
    <w:basedOn w:val="Style13"/>
    <w:link w:val="List2"/>
    <w:qFormat/>
    <w:rsid w:val="00481cef"/>
    <w:rPr>
      <w:spacing w:val="-5"/>
      <w:sz w:val="28"/>
      <w:szCs w:val="22"/>
      <w:lang w:eastAsia="en-US"/>
    </w:rPr>
  </w:style>
  <w:style w:type="character" w:styleId="Style6" w:customStyle="1">
    <w:name w:val="Заголовок Знак"/>
    <w:basedOn w:val="DefaultParagraphFont"/>
    <w:uiPriority w:val="10"/>
    <w:qFormat/>
    <w:rsid w:val="00bb6047"/>
    <w:rPr>
      <w:b/>
      <w:caps/>
      <w:spacing w:val="-30"/>
      <w:sz w:val="32"/>
      <w:szCs w:val="28"/>
    </w:rPr>
  </w:style>
  <w:style w:type="character" w:styleId="CommentReference">
    <w:name w:val="annotation reference"/>
    <w:semiHidden/>
    <w:qFormat/>
    <w:rsid w:val="006504d4"/>
    <w:rPr>
      <w:rFonts w:ascii="Arial" w:hAnsi="Arial"/>
      <w:sz w:val="16"/>
    </w:rPr>
  </w:style>
  <w:style w:type="character" w:styleId="Style7" w:customStyle="1">
    <w:name w:val="Текст примечания Знак"/>
    <w:basedOn w:val="DefaultParagraphFont"/>
    <w:qFormat/>
    <w:rsid w:val="009747b8"/>
    <w:rPr>
      <w:rFonts w:ascii="Arial" w:hAnsi="Arial"/>
      <w:spacing w:val="-5"/>
      <w:sz w:val="16"/>
      <w:lang w:val="en-US"/>
    </w:rPr>
  </w:style>
  <w:style w:type="character" w:styleId="Style8">
    <w:name w:val="Символ концевой сноски"/>
    <w:semiHidden/>
    <w:qFormat/>
    <w:rsid w:val="006504d4"/>
    <w:rPr>
      <w:vertAlign w:val="superscript"/>
    </w:rPr>
  </w:style>
  <w:style w:type="character" w:styleId="EndnoteReference">
    <w:name w:val="endnote reference"/>
    <w:rPr>
      <w:vertAlign w:val="superscript"/>
    </w:rPr>
  </w:style>
  <w:style w:type="character" w:styleId="Style9" w:customStyle="1">
    <w:name w:val="Текст концевой сноски Знак"/>
    <w:basedOn w:val="DefaultParagraphFont"/>
    <w:semiHidden/>
    <w:qFormat/>
    <w:rsid w:val="00867325"/>
    <w:rPr>
      <w:rFonts w:ascii="Arial" w:hAnsi="Arial"/>
      <w:spacing w:val="-5"/>
      <w:sz w:val="16"/>
      <w:lang w:val="en-US" w:eastAsia="en-US" w:bidi="ar-SA"/>
    </w:rPr>
  </w:style>
  <w:style w:type="character" w:styleId="Style10" w:customStyle="1">
    <w:name w:val="Нижний колонтитул Знак"/>
    <w:basedOn w:val="DefaultParagraphFont"/>
    <w:uiPriority w:val="99"/>
    <w:qFormat/>
    <w:rsid w:val="0053088b"/>
    <w:rPr>
      <w:rFonts w:ascii="Cambria" w:hAnsi="Cambria" w:eastAsia="Microsoft YaHei"/>
      <w:caps/>
      <w:spacing w:val="-5"/>
      <w:sz w:val="12"/>
      <w:szCs w:val="12"/>
      <w:lang w:eastAsia="en-US"/>
    </w:rPr>
  </w:style>
  <w:style w:type="character" w:styleId="Style11">
    <w:name w:val="Символ сноски"/>
    <w:semiHidden/>
    <w:qFormat/>
    <w:rsid w:val="006504d4"/>
    <w:rPr>
      <w:vertAlign w:val="superscript"/>
    </w:rPr>
  </w:style>
  <w:style w:type="character" w:styleId="FootnoteReference">
    <w:name w:val="footnote reference"/>
    <w:rPr>
      <w:vertAlign w:val="superscript"/>
    </w:rPr>
  </w:style>
  <w:style w:type="character" w:styleId="Style12" w:customStyle="1">
    <w:name w:val="Текст сноски Знак"/>
    <w:basedOn w:val="DefaultParagraphFont"/>
    <w:semiHidden/>
    <w:qFormat/>
    <w:rsid w:val="00867325"/>
    <w:rPr>
      <w:rFonts w:ascii="Arial" w:hAnsi="Arial"/>
      <w:spacing w:val="-5"/>
      <w:sz w:val="16"/>
      <w:lang w:val="en-US" w:eastAsia="en-US" w:bidi="ar-SA"/>
    </w:rPr>
  </w:style>
  <w:style w:type="character" w:styleId="LineNumber">
    <w:name w:val="line number"/>
    <w:rsid w:val="006504d4"/>
    <w:rPr>
      <w:sz w:val="18"/>
    </w:rPr>
  </w:style>
  <w:style w:type="character" w:styleId="Style13" w:customStyle="1">
    <w:name w:val="Список Знак"/>
    <w:basedOn w:val="DefaultParagraphFont"/>
    <w:qFormat/>
    <w:rsid w:val="00246f93"/>
    <w:rPr>
      <w:spacing w:val="-5"/>
      <w:szCs w:val="22"/>
      <w:lang w:eastAsia="en-US"/>
    </w:rPr>
  </w:style>
  <w:style w:type="character" w:styleId="PageNumber">
    <w:name w:val="page number"/>
    <w:rsid w:val="006504d4"/>
    <w:rPr>
      <w:rFonts w:ascii="Arial Black" w:hAnsi="Arial Black"/>
      <w:spacing w:val="-10"/>
      <w:sz w:val="18"/>
    </w:rPr>
  </w:style>
  <w:style w:type="character" w:styleId="Style14" w:customStyle="1">
    <w:name w:val="рисунок Знак"/>
    <w:basedOn w:val="DefaultParagraphFont"/>
    <w:link w:val="Style34"/>
    <w:qFormat/>
    <w:rsid w:val="00d02b39"/>
    <w:rPr>
      <w:lang w:eastAsia="ru-RU"/>
    </w:rPr>
  </w:style>
  <w:style w:type="character" w:styleId="Style15" w:customStyle="1">
    <w:name w:val="Заголовок таблицы Знак"/>
    <w:basedOn w:val="DefaultParagraphFont"/>
    <w:link w:val="Style43"/>
    <w:qFormat/>
    <w:rsid w:val="00a61bbe"/>
    <w:rPr>
      <w:lang w:eastAsia="ru-RU"/>
    </w:rPr>
  </w:style>
  <w:style w:type="character" w:styleId="Style16" w:customStyle="1">
    <w:name w:val="Название объекта Знак"/>
    <w:basedOn w:val="DefaultParagraphFont"/>
    <w:qFormat/>
    <w:rsid w:val="00d0476f"/>
    <w:rPr>
      <w:rFonts w:ascii="Arial Narrow" w:hAnsi="Arial Narrow" w:eastAsia="Microsoft YaHei"/>
      <w:b/>
      <w:bCs/>
      <w:spacing w:val="-5"/>
      <w:sz w:val="24"/>
      <w:szCs w:val="24"/>
      <w:lang w:eastAsia="en-US"/>
    </w:rPr>
  </w:style>
  <w:style w:type="character" w:styleId="Emphasis">
    <w:name w:val="Emphasis"/>
    <w:qFormat/>
    <w:rsid w:val="00c34d8e"/>
    <w:rPr>
      <w:rFonts w:ascii="Arial Black" w:hAnsi="Arial Black"/>
      <w:spacing w:val="-4"/>
      <w:sz w:val="18"/>
    </w:rPr>
  </w:style>
  <w:style w:type="character" w:styleId="Style17" w:customStyle="1">
    <w:name w:val="Верхний колонтитул Знак"/>
    <w:basedOn w:val="DefaultParagraphFont"/>
    <w:uiPriority w:val="99"/>
    <w:qFormat/>
    <w:rsid w:val="00640466"/>
    <w:rPr>
      <w:sz w:val="24"/>
      <w:szCs w:val="24"/>
    </w:rPr>
  </w:style>
  <w:style w:type="character" w:styleId="Hyperlink">
    <w:name w:val="Hyperlink"/>
    <w:basedOn w:val="DefaultParagraphFont"/>
    <w:uiPriority w:val="99"/>
    <w:unhideWhenUsed/>
    <w:rsid w:val="001b5d05"/>
    <w:rPr>
      <w:color w:val="0000FF"/>
      <w:u w:val="single"/>
    </w:rPr>
  </w:style>
  <w:style w:type="character" w:styleId="FollowedHyperlink">
    <w:name w:val="FollowedHyperlink"/>
    <w:basedOn w:val="DefaultParagraphFont"/>
    <w:uiPriority w:val="99"/>
    <w:unhideWhenUsed/>
    <w:rsid w:val="007d7a64"/>
    <w:rPr>
      <w:color w:val="800080"/>
      <w:u w:val="single"/>
    </w:rPr>
  </w:style>
  <w:style w:type="character" w:styleId="Style18" w:customStyle="1">
    <w:name w:val="Схема документа Знак"/>
    <w:basedOn w:val="DefaultParagraphFont"/>
    <w:link w:val="DocumentMap"/>
    <w:semiHidden/>
    <w:qFormat/>
    <w:rsid w:val="005e4f4b"/>
    <w:rPr>
      <w:rFonts w:ascii="Tahoma" w:hAnsi="Tahoma" w:eastAsia="Microsoft YaHei" w:cs="Tahoma"/>
      <w:spacing w:val="-5"/>
      <w:sz w:val="22"/>
      <w:szCs w:val="22"/>
      <w:shd w:fill="000080" w:val="clear"/>
      <w:lang w:eastAsia="en-US"/>
    </w:rPr>
  </w:style>
  <w:style w:type="character" w:styleId="Style19" w:customStyle="1">
    <w:name w:val="Маркированный список Знак"/>
    <w:basedOn w:val="DefaultParagraphFont"/>
    <w:qFormat/>
    <w:rsid w:val="005e4f4b"/>
    <w:rPr>
      <w:rFonts w:ascii="Arial" w:hAnsi="Arial"/>
      <w:spacing w:val="-5"/>
      <w:sz w:val="22"/>
      <w:szCs w:val="22"/>
      <w:lang w:eastAsia="en-US"/>
    </w:rPr>
  </w:style>
  <w:style w:type="character" w:styleId="HTML" w:customStyle="1">
    <w:name w:val="Стандартный HTML Знак"/>
    <w:basedOn w:val="DefaultParagraphFont"/>
    <w:link w:val="HTMLPreformatted"/>
    <w:qFormat/>
    <w:rsid w:val="005e4f4b"/>
    <w:rPr>
      <w:rFonts w:ascii="Courier New" w:hAnsi="Courier New" w:cs="Courier New"/>
    </w:rPr>
  </w:style>
  <w:style w:type="character" w:styleId="Style20" w:customStyle="1">
    <w:name w:val="Основной текст с отступом Знак"/>
    <w:basedOn w:val="DefaultParagraphFont"/>
    <w:qFormat/>
    <w:rsid w:val="005e4f4b"/>
    <w:rPr>
      <w:rFonts w:ascii="Calibri" w:hAnsi="Calibri" w:eastAsia="Calibri"/>
      <w:sz w:val="22"/>
      <w:szCs w:val="22"/>
      <w:lang w:eastAsia="en-US"/>
    </w:rPr>
  </w:style>
  <w:style w:type="character" w:styleId="Style21" w:customStyle="1">
    <w:name w:val="Подрисуночный текст Знак"/>
    <w:basedOn w:val="DefaultParagraphFont"/>
    <w:link w:val="Style36"/>
    <w:qFormat/>
    <w:rsid w:val="005e4f4b"/>
    <w:rPr>
      <w:rFonts w:ascii="Arial" w:hAnsi="Arial" w:eastAsia="Microsoft YaHei"/>
      <w:sz w:val="22"/>
      <w:szCs w:val="22"/>
    </w:rPr>
  </w:style>
  <w:style w:type="character" w:styleId="22" w:customStyle="1">
    <w:name w:val="Основной текст с отступом 2 Знак"/>
    <w:basedOn w:val="DefaultParagraphFont"/>
    <w:link w:val="BodyTextIndent2"/>
    <w:qFormat/>
    <w:rsid w:val="005e4f4b"/>
    <w:rPr>
      <w:rFonts w:ascii="Arial" w:hAnsi="Arial"/>
      <w:spacing w:val="-5"/>
      <w:lang w:val="en-US" w:eastAsia="en-US"/>
    </w:rPr>
  </w:style>
  <w:style w:type="character" w:styleId="31" w:customStyle="1">
    <w:name w:val="Основной текст с отступом 3 Знак"/>
    <w:basedOn w:val="DefaultParagraphFont"/>
    <w:link w:val="BodyTextIndent3"/>
    <w:qFormat/>
    <w:rsid w:val="005e4f4b"/>
    <w:rPr>
      <w:color w:val="444444"/>
      <w:sz w:val="24"/>
    </w:rPr>
  </w:style>
  <w:style w:type="character" w:styleId="32" w:customStyle="1">
    <w:name w:val="Основной текст 3 Знак"/>
    <w:basedOn w:val="DefaultParagraphFont"/>
    <w:link w:val="BodyText3"/>
    <w:uiPriority w:val="99"/>
    <w:qFormat/>
    <w:rsid w:val="007d5adc"/>
    <w:rPr>
      <w:sz w:val="16"/>
      <w:szCs w:val="16"/>
    </w:rPr>
  </w:style>
  <w:style w:type="character" w:styleId="11" w:customStyle="1">
    <w:name w:val="Маркированный_1 Знак"/>
    <w:basedOn w:val="DefaultParagraphFont"/>
    <w:link w:val="113"/>
    <w:qFormat/>
    <w:rsid w:val="00640466"/>
    <w:rPr>
      <w:sz w:val="24"/>
      <w:szCs w:val="24"/>
    </w:rPr>
  </w:style>
  <w:style w:type="character" w:styleId="Style22" w:customStyle="1">
    <w:name w:val="Основной текст Знак"/>
    <w:basedOn w:val="DefaultParagraphFont"/>
    <w:qFormat/>
    <w:rsid w:val="00c700bb"/>
    <w:rPr>
      <w:rFonts w:ascii="Arial" w:hAnsi="Arial" w:eastAsia="Microsoft YaHei"/>
      <w:spacing w:val="-5"/>
      <w:sz w:val="22"/>
      <w:szCs w:val="22"/>
      <w:lang w:eastAsia="en-US"/>
    </w:rPr>
  </w:style>
  <w:style w:type="character" w:styleId="Style23" w:customStyle="1">
    <w:name w:val="Тема примечания Знак"/>
    <w:basedOn w:val="Style7"/>
    <w:link w:val="annotationsubject"/>
    <w:qFormat/>
    <w:rsid w:val="0074589a"/>
    <w:rPr>
      <w:rFonts w:ascii="Arial" w:hAnsi="Arial" w:eastAsia="Microsoft YaHei"/>
      <w:b/>
      <w:bCs/>
      <w:spacing w:val="-5"/>
      <w:sz w:val="16"/>
      <w:lang w:val="en-US" w:eastAsia="en-US"/>
    </w:rPr>
  </w:style>
  <w:style w:type="character" w:styleId="BodyTextKeepChar" w:customStyle="1">
    <w:name w:val="Body Text Keep Char"/>
    <w:link w:val="BodyTextKeep"/>
    <w:qFormat/>
    <w:rsid w:val="003c2fec"/>
    <w:rPr>
      <w:rFonts w:ascii="Arial" w:hAnsi="Arial"/>
      <w:spacing w:val="-5"/>
      <w:kern w:val="2"/>
      <w:sz w:val="22"/>
      <w:szCs w:val="22"/>
      <w:lang w:eastAsia="en-US"/>
    </w:rPr>
  </w:style>
  <w:style w:type="character" w:styleId="PlaceholderText">
    <w:name w:val="Placeholder Text"/>
    <w:basedOn w:val="DefaultParagraphFont"/>
    <w:uiPriority w:val="99"/>
    <w:semiHidden/>
    <w:qFormat/>
    <w:rsid w:val="00d808cb"/>
    <w:rPr>
      <w:color w:val="808080"/>
    </w:rPr>
  </w:style>
  <w:style w:type="character" w:styleId="Style24" w:customStyle="1">
    <w:name w:val="Без интервала Знак"/>
    <w:basedOn w:val="DefaultParagraphFont"/>
    <w:link w:val="NoSpacing"/>
    <w:uiPriority w:val="1"/>
    <w:qFormat/>
    <w:rsid w:val="00036a38"/>
    <w:rPr>
      <w:rFonts w:ascii="Calibri" w:hAnsi="Calibri" w:eastAsia="" w:cs="" w:asciiTheme="minorHAnsi" w:cstheme="minorBidi" w:eastAsiaTheme="minorEastAsia" w:hAnsiTheme="minorHAnsi"/>
      <w:sz w:val="22"/>
      <w:szCs w:val="22"/>
      <w:lang w:eastAsia="en-US"/>
    </w:rPr>
  </w:style>
  <w:style w:type="character" w:styleId="HeadingBase" w:customStyle="1">
    <w:name w:val="Heading Base Знак"/>
    <w:link w:val="HeadingBase1"/>
    <w:qFormat/>
    <w:rsid w:val="00f41119"/>
    <w:rPr>
      <w:rFonts w:ascii="Arial" w:hAnsi="Arial"/>
      <w:b/>
      <w:spacing w:val="-4"/>
      <w:kern w:val="2"/>
      <w:sz w:val="28"/>
      <w:szCs w:val="28"/>
      <w:lang w:eastAsia="en-US"/>
    </w:rPr>
  </w:style>
  <w:style w:type="character" w:styleId="23" w:customStyle="1">
    <w:name w:val="Основной текст 2 Знак"/>
    <w:basedOn w:val="DefaultParagraphFont"/>
    <w:link w:val="BodyText2"/>
    <w:qFormat/>
    <w:rsid w:val="00836986"/>
    <w:rPr>
      <w:sz w:val="24"/>
      <w:szCs w:val="24"/>
    </w:rPr>
  </w:style>
  <w:style w:type="character" w:styleId="Strong">
    <w:name w:val="Strong"/>
    <w:basedOn w:val="DefaultParagraphFont"/>
    <w:uiPriority w:val="22"/>
    <w:qFormat/>
    <w:rsid w:val="00922535"/>
    <w:rPr>
      <w:b/>
      <w:bCs/>
    </w:rPr>
  </w:style>
  <w:style w:type="character" w:styleId="12" w:customStyle="1">
    <w:name w:val="Нижний колонтитул Знак1"/>
    <w:basedOn w:val="DefaultParagraphFont"/>
    <w:uiPriority w:val="99"/>
    <w:semiHidden/>
    <w:qFormat/>
    <w:rsid w:val="00e756f2"/>
    <w:rPr>
      <w:rFonts w:ascii="Arial" w:hAnsi="Arial" w:eastAsia="Microsoft YaHei"/>
      <w:spacing w:val="-5"/>
      <w:sz w:val="22"/>
      <w:szCs w:val="22"/>
      <w:lang w:eastAsia="en-US"/>
    </w:rPr>
  </w:style>
  <w:style w:type="character" w:styleId="13" w:customStyle="1">
    <w:name w:val="Основной текст Знак1"/>
    <w:basedOn w:val="DefaultParagraphFont"/>
    <w:uiPriority w:val="99"/>
    <w:semiHidden/>
    <w:qFormat/>
    <w:rsid w:val="00e756f2"/>
    <w:rPr>
      <w:rFonts w:ascii="Arial" w:hAnsi="Arial" w:eastAsia="Microsoft YaHei"/>
      <w:spacing w:val="-5"/>
      <w:sz w:val="22"/>
      <w:szCs w:val="22"/>
      <w:lang w:eastAsia="en-US"/>
    </w:rPr>
  </w:style>
  <w:style w:type="character" w:styleId="14" w:customStyle="1">
    <w:name w:val="Гиперссылка1"/>
    <w:uiPriority w:val="99"/>
    <w:unhideWhenUsed/>
    <w:qFormat/>
    <w:rsid w:val="00304d48"/>
    <w:rPr>
      <w:color w:val="0000FF"/>
      <w:u w:val="single"/>
    </w:rPr>
  </w:style>
  <w:style w:type="character" w:styleId="Style25" w:customStyle="1">
    <w:name w:val="Стиль алаеваМаркированный список + По ширине Междустр.интервал:  по... Знак Знак"/>
    <w:basedOn w:val="DefaultParagraphFont"/>
    <w:link w:val="Style38"/>
    <w:qFormat/>
    <w:rsid w:val="003043a3"/>
    <w:rPr>
      <w:rFonts w:ascii="Arial" w:hAnsi="Arial"/>
      <w:sz w:val="22"/>
      <w:szCs w:val="24"/>
    </w:rPr>
  </w:style>
  <w:style w:type="character" w:styleId="apple-converted-space" w:customStyle="1">
    <w:name w:val="apple-converted-space"/>
    <w:basedOn w:val="DefaultParagraphFont"/>
    <w:qFormat/>
    <w:rsid w:val="00163131"/>
    <w:rPr/>
  </w:style>
  <w:style w:type="character" w:styleId="Style26" w:customStyle="1">
    <w:name w:val="Рисунок Знак"/>
    <w:basedOn w:val="DefaultParagraphFont"/>
    <w:link w:val="Style44"/>
    <w:qFormat/>
    <w:rsid w:val="002c0507"/>
    <w:rPr>
      <w:rFonts w:ascii="Arial" w:hAnsi="Arial" w:eastAsia="Microsoft YaHei"/>
      <w:b/>
      <w:bCs/>
      <w:spacing w:val="-5"/>
      <w:sz w:val="18"/>
      <w:szCs w:val="18"/>
      <w:lang w:eastAsia="en-US"/>
    </w:rPr>
  </w:style>
  <w:style w:type="character" w:styleId="Style27" w:customStyle="1">
    <w:name w:val="Подзаголовок Знак"/>
    <w:basedOn w:val="DefaultParagraphFont"/>
    <w:qFormat/>
    <w:rsid w:val="00964952"/>
    <w:rPr>
      <w:rFonts w:ascii="Cambria" w:hAnsi="Cambria" w:eastAsia="" w:cs="" w:asciiTheme="majorHAnsi" w:cstheme="majorBidi" w:eastAsiaTheme="majorEastAsia" w:hAnsiTheme="majorHAnsi"/>
      <w:i/>
      <w:iCs/>
      <w:color w:themeColor="accent1" w:val="4F81BD"/>
      <w:spacing w:val="15"/>
      <w:sz w:val="24"/>
      <w:szCs w:val="24"/>
    </w:rPr>
  </w:style>
  <w:style w:type="character" w:styleId="d6e2e5f2eee2eee5e2fbe4e5ebe5ede8e5e4ebffd2e5eaf1f2" w:customStyle="1">
    <w:name w:val="Цd6вe2еe5тf2оeeвe2оeeеe5 вe2ыfbдe4еe5лebеe5нedиe8еe5 дe4лebяff Тd2еe5кeaсf1тf2"/>
    <w:uiPriority w:val="99"/>
    <w:qFormat/>
    <w:rsid w:val="00fe7ebe"/>
    <w:rPr>
      <w:rFonts w:ascii="Times New Roman CYR" w:hAnsi="Times New Roman CYR" w:cs="Times New Roman CYR"/>
    </w:rPr>
  </w:style>
  <w:style w:type="character" w:styleId="Style28" w:customStyle="1">
    <w:name w:val="Название Знак"/>
    <w:qFormat/>
    <w:rsid w:val="006501ca"/>
    <w:rPr>
      <w:b/>
      <w:caps/>
      <w:spacing w:val="-30"/>
      <w:sz w:val="32"/>
      <w:szCs w:val="28"/>
    </w:rPr>
  </w:style>
  <w:style w:type="character" w:styleId="Style29" w:customStyle="1">
    <w:name w:val="Верх колонтитул Знак"/>
    <w:basedOn w:val="Style17"/>
    <w:link w:val="Style40"/>
    <w:qFormat/>
    <w:rsid w:val="00ba3b39"/>
    <w:rPr>
      <w:rFonts w:ascii="Arial Narrow" w:hAnsi="Arial Narrow" w:eastAsia="" w:eastAsiaTheme="majorEastAsia"/>
      <w:b/>
      <w:sz w:val="16"/>
      <w:szCs w:val="24"/>
    </w:rPr>
  </w:style>
  <w:style w:type="character" w:styleId="Style30" w:customStyle="1">
    <w:name w:val="Нижн колонтитул Знак"/>
    <w:basedOn w:val="Style10"/>
    <w:link w:val="Style41"/>
    <w:qFormat/>
    <w:rsid w:val="00ba3b39"/>
    <w:rPr>
      <w:rFonts w:ascii="Arial" w:hAnsi="Arial" w:eastAsia="Microsoft YaHei" w:cs="Arial"/>
      <w:caps/>
      <w:spacing w:val="-5"/>
      <w:sz w:val="18"/>
      <w:szCs w:val="12"/>
      <w:lang w:eastAsia="en-US"/>
    </w:rPr>
  </w:style>
  <w:style w:type="character" w:styleId="24" w:customStyle="1">
    <w:name w:val="Обыч 2 Знак"/>
    <w:basedOn w:val="DefaultParagraphFont"/>
    <w:link w:val="25"/>
    <w:qFormat/>
    <w:rsid w:val="00ba3b39"/>
    <w:rPr>
      <w:rFonts w:ascii="Arial" w:hAnsi="Arial" w:eastAsia="Microsoft YaHei"/>
      <w:spacing w:val="-5"/>
      <w:sz w:val="24"/>
      <w:szCs w:val="22"/>
    </w:rPr>
  </w:style>
  <w:style w:type="character" w:styleId="15" w:customStyle="1">
    <w:name w:val="Основной текст с отступом Знак1"/>
    <w:uiPriority w:val="99"/>
    <w:semiHidden/>
    <w:qFormat/>
    <w:rsid w:val="00ba3b39"/>
    <w:rPr>
      <w:rFonts w:ascii="Arial" w:hAnsi="Arial" w:eastAsia="Microsoft YaHei" w:cs="Times New Roman"/>
      <w:spacing w:val="-5"/>
    </w:rPr>
  </w:style>
  <w:style w:type="character" w:styleId="16" w:customStyle="1">
    <w:name w:val="Верхний колонтитул Знак1"/>
    <w:uiPriority w:val="99"/>
    <w:semiHidden/>
    <w:qFormat/>
    <w:rsid w:val="00ba3b39"/>
    <w:rPr>
      <w:rFonts w:ascii="Arial" w:hAnsi="Arial" w:eastAsia="Microsoft YaHei" w:cs="Times New Roman"/>
      <w:spacing w:val="-5"/>
    </w:rPr>
  </w:style>
  <w:style w:type="character" w:styleId="311" w:customStyle="1">
    <w:name w:val="Основной текст 3 Знак1"/>
    <w:uiPriority w:val="99"/>
    <w:semiHidden/>
    <w:qFormat/>
    <w:rsid w:val="00ba3b39"/>
    <w:rPr>
      <w:rFonts w:ascii="Arial" w:hAnsi="Arial" w:eastAsia="Microsoft YaHei" w:cs="Times New Roman"/>
      <w:spacing w:val="-5"/>
      <w:sz w:val="16"/>
      <w:szCs w:val="16"/>
    </w:rPr>
  </w:style>
  <w:style w:type="character" w:styleId="17" w:customStyle="1">
    <w:name w:val="Схема документа Знак1"/>
    <w:uiPriority w:val="99"/>
    <w:semiHidden/>
    <w:qFormat/>
    <w:rsid w:val="00ba3b39"/>
    <w:rPr>
      <w:rFonts w:ascii="Segoe UI" w:hAnsi="Segoe UI" w:eastAsia="Microsoft YaHei" w:cs="Segoe UI"/>
      <w:spacing w:val="-5"/>
      <w:sz w:val="16"/>
      <w:szCs w:val="16"/>
    </w:rPr>
  </w:style>
  <w:style w:type="character" w:styleId="18" w:customStyle="1">
    <w:name w:val="Тема примечания Знак1"/>
    <w:uiPriority w:val="99"/>
    <w:semiHidden/>
    <w:qFormat/>
    <w:rsid w:val="00ba3b39"/>
    <w:rPr>
      <w:rFonts w:ascii="Arial" w:hAnsi="Arial" w:eastAsia="Microsoft YaHei" w:cs="Times New Roman"/>
      <w:b/>
      <w:bCs/>
      <w:spacing w:val="-5"/>
      <w:sz w:val="20"/>
      <w:szCs w:val="20"/>
      <w:lang w:val="en-US"/>
    </w:rPr>
  </w:style>
  <w:style w:type="character" w:styleId="HTML1" w:customStyle="1">
    <w:name w:val="Стандартный HTML Знак1"/>
    <w:uiPriority w:val="99"/>
    <w:semiHidden/>
    <w:qFormat/>
    <w:rsid w:val="00ba3b39"/>
    <w:rPr>
      <w:rFonts w:ascii="Consolas" w:hAnsi="Consolas" w:eastAsia="Microsoft YaHei" w:cs="Times New Roman"/>
      <w:spacing w:val="-5"/>
      <w:sz w:val="20"/>
      <w:szCs w:val="20"/>
    </w:rPr>
  </w:style>
  <w:style w:type="character" w:styleId="19" w:customStyle="1">
    <w:name w:val="Текст выноски Знак1"/>
    <w:uiPriority w:val="99"/>
    <w:semiHidden/>
    <w:qFormat/>
    <w:rsid w:val="00ba3b39"/>
    <w:rPr>
      <w:rFonts w:ascii="Segoe UI" w:hAnsi="Segoe UI" w:eastAsia="Microsoft YaHei" w:cs="Segoe UI"/>
      <w:spacing w:val="-5"/>
      <w:sz w:val="18"/>
      <w:szCs w:val="18"/>
    </w:rPr>
  </w:style>
  <w:style w:type="character" w:styleId="312" w:customStyle="1">
    <w:name w:val="Основной текст с отступом 3 Знак1"/>
    <w:uiPriority w:val="99"/>
    <w:semiHidden/>
    <w:qFormat/>
    <w:rsid w:val="00ba3b39"/>
    <w:rPr>
      <w:rFonts w:ascii="Arial" w:hAnsi="Arial" w:eastAsia="Microsoft YaHei" w:cs="Times New Roman"/>
      <w:spacing w:val="-5"/>
      <w:sz w:val="16"/>
      <w:szCs w:val="16"/>
    </w:rPr>
  </w:style>
  <w:style w:type="character" w:styleId="211" w:customStyle="1">
    <w:name w:val="Основной текст 2 Знак1"/>
    <w:uiPriority w:val="99"/>
    <w:semiHidden/>
    <w:qFormat/>
    <w:rsid w:val="00ba3b39"/>
    <w:rPr>
      <w:rFonts w:ascii="Arial" w:hAnsi="Arial" w:eastAsia="Microsoft YaHei" w:cs="Times New Roman"/>
      <w:spacing w:val="-5"/>
    </w:rPr>
  </w:style>
  <w:style w:type="character" w:styleId="110" w:customStyle="1">
    <w:name w:val="Текст сноски Знак1"/>
    <w:uiPriority w:val="99"/>
    <w:semiHidden/>
    <w:qFormat/>
    <w:rsid w:val="00ba3b39"/>
    <w:rPr>
      <w:rFonts w:ascii="Arial" w:hAnsi="Arial" w:eastAsia="Microsoft YaHei" w:cs="Times New Roman"/>
      <w:spacing w:val="-5"/>
      <w:sz w:val="20"/>
      <w:szCs w:val="20"/>
    </w:rPr>
  </w:style>
  <w:style w:type="character" w:styleId="111" w:customStyle="1">
    <w:name w:val="Текст концевой сноски Знак1"/>
    <w:uiPriority w:val="99"/>
    <w:semiHidden/>
    <w:qFormat/>
    <w:rsid w:val="00ba3b39"/>
    <w:rPr>
      <w:rFonts w:ascii="Arial" w:hAnsi="Arial" w:eastAsia="Microsoft YaHei" w:cs="Times New Roman"/>
      <w:spacing w:val="-5"/>
      <w:sz w:val="20"/>
      <w:szCs w:val="20"/>
    </w:rPr>
  </w:style>
  <w:style w:type="character" w:styleId="212" w:customStyle="1">
    <w:name w:val="Основной текст с отступом 2 Знак1"/>
    <w:uiPriority w:val="99"/>
    <w:semiHidden/>
    <w:qFormat/>
    <w:rsid w:val="00ba3b39"/>
    <w:rPr>
      <w:rFonts w:ascii="Arial" w:hAnsi="Arial" w:eastAsia="Microsoft YaHei" w:cs="Times New Roman"/>
      <w:spacing w:val="-5"/>
    </w:rPr>
  </w:style>
  <w:style w:type="character" w:styleId="Style31">
    <w:name w:val="Ссылка указателя"/>
    <w:qFormat/>
    <w:rPr/>
  </w:style>
  <w:style w:type="paragraph" w:styleId="Style32">
    <w:name w:val="Заголовок"/>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link w:val="Style22"/>
    <w:qFormat/>
    <w:rsid w:val="00c700bb"/>
    <w:pPr/>
    <w:rPr/>
  </w:style>
  <w:style w:type="paragraph" w:styleId="List">
    <w:name w:val="List"/>
    <w:basedOn w:val="Normal"/>
    <w:link w:val="Style13"/>
    <w:rsid w:val="00246f93"/>
    <w:pPr>
      <w:ind w:hanging="0"/>
    </w:pPr>
    <w:rPr>
      <w:sz w:val="20"/>
    </w:rPr>
  </w:style>
  <w:style w:type="paragraph" w:styleId="Caption">
    <w:name w:val="caption"/>
    <w:basedOn w:val="Normal"/>
    <w:next w:val="Normal"/>
    <w:link w:val="Style16"/>
    <w:qFormat/>
    <w:rsid w:val="00d0476f"/>
    <w:pPr>
      <w:spacing w:before="120" w:after="200"/>
      <w:ind w:hanging="0"/>
      <w:jc w:val="left"/>
    </w:pPr>
    <w:rPr>
      <w:rFonts w:ascii="Arial Narrow" w:hAnsi="Arial Narrow"/>
      <w:b/>
      <w:bCs/>
      <w:sz w:val="24"/>
      <w:szCs w:val="24"/>
    </w:rPr>
  </w:style>
  <w:style w:type="paragraph" w:styleId="Style33">
    <w:name w:val="Указатель"/>
    <w:basedOn w:val="Normal"/>
    <w:qFormat/>
    <w:pPr>
      <w:suppressLineNumbers/>
    </w:pPr>
    <w:rPr>
      <w:rFonts w:cs="Arial"/>
    </w:rPr>
  </w:style>
  <w:style w:type="paragraph" w:styleId="BalloonText">
    <w:name w:val="Balloon Text"/>
    <w:basedOn w:val="Normal"/>
    <w:link w:val="Style5"/>
    <w:qFormat/>
    <w:rsid w:val="006504d4"/>
    <w:pPr/>
    <w:rPr>
      <w:rFonts w:ascii="Tahoma" w:hAnsi="Tahoma" w:cs="Tahoma"/>
      <w:sz w:val="16"/>
      <w:szCs w:val="16"/>
    </w:rPr>
  </w:style>
  <w:style w:type="paragraph" w:styleId="112" w:customStyle="1">
    <w:name w:val="Для таблицы (приложения 1)"/>
    <w:basedOn w:val="Normal"/>
    <w:qFormat/>
    <w:rsid w:val="00034369"/>
    <w:pPr>
      <w:spacing w:lineRule="atLeast" w:line="240" w:before="0" w:after="0"/>
      <w:ind w:hanging="0"/>
      <w:jc w:val="left"/>
    </w:pPr>
    <w:rPr>
      <w:rFonts w:eastAsia="Times New Roman"/>
      <w:bCs/>
      <w:color w:val="000000"/>
      <w:sz w:val="18"/>
    </w:rPr>
  </w:style>
  <w:style w:type="paragraph" w:styleId="List2">
    <w:name w:val="List 2"/>
    <w:basedOn w:val="Normal"/>
    <w:link w:val="21"/>
    <w:qFormat/>
    <w:rsid w:val="004a5597"/>
    <w:pPr>
      <w:spacing w:before="120" w:after="120"/>
      <w:ind w:hanging="283" w:left="566"/>
      <w:contextualSpacing/>
    </w:pPr>
    <w:rPr/>
  </w:style>
  <w:style w:type="paragraph" w:styleId="Title">
    <w:name w:val="Title"/>
    <w:basedOn w:val="Normal"/>
    <w:next w:val="Normal"/>
    <w:link w:val="Style6"/>
    <w:qFormat/>
    <w:rsid w:val="00bb6047"/>
    <w:pPr>
      <w:keepNext w:val="true"/>
      <w:keepLines/>
      <w:spacing w:before="220" w:after="60"/>
      <w:ind w:hanging="0"/>
      <w:jc w:val="center"/>
    </w:pPr>
    <w:rPr>
      <w:b/>
      <w:caps/>
      <w:spacing w:val="-30"/>
      <w:kern w:val="2"/>
      <w:sz w:val="32"/>
      <w:szCs w:val="28"/>
    </w:rPr>
  </w:style>
  <w:style w:type="paragraph" w:styleId="CommentText">
    <w:name w:val="annotation text"/>
    <w:basedOn w:val="Normal"/>
    <w:link w:val="Style7"/>
    <w:semiHidden/>
    <w:rsid w:val="00b74953"/>
    <w:pPr/>
    <w:rPr/>
  </w:style>
  <w:style w:type="paragraph" w:styleId="EndnoteText">
    <w:name w:val="endnote text"/>
    <w:basedOn w:val="Normal"/>
    <w:link w:val="Style9"/>
    <w:semiHidden/>
    <w:rsid w:val="00b74953"/>
    <w:pPr/>
    <w:rPr/>
  </w:style>
  <w:style w:type="paragraph" w:styleId="HeaderandFooter">
    <w:name w:val="Header and Footer"/>
    <w:basedOn w:val="Normal"/>
    <w:qFormat/>
    <w:pPr/>
    <w:rPr/>
  </w:style>
  <w:style w:type="paragraph" w:styleId="Footer">
    <w:name w:val="footer"/>
    <w:basedOn w:val="Normal"/>
    <w:link w:val="Style10"/>
    <w:uiPriority w:val="99"/>
    <w:rsid w:val="0053088b"/>
    <w:pPr>
      <w:keepLines/>
      <w:pBdr>
        <w:top w:val="thinThickSmallGap" w:sz="24" w:space="0" w:color="622423"/>
      </w:pBdr>
      <w:tabs>
        <w:tab w:val="clear" w:pos="709"/>
        <w:tab w:val="left" w:pos="6379" w:leader="none"/>
        <w:tab w:val="right" w:pos="14601" w:leader="none"/>
      </w:tabs>
      <w:spacing w:lineRule="atLeast" w:line="190"/>
      <w:ind w:hanging="0"/>
    </w:pPr>
    <w:rPr>
      <w:rFonts w:ascii="Cambria" w:hAnsi="Cambria"/>
      <w:caps/>
      <w:sz w:val="12"/>
      <w:szCs w:val="12"/>
    </w:rPr>
  </w:style>
  <w:style w:type="paragraph" w:styleId="FootnoteText">
    <w:name w:val="footnote text"/>
    <w:basedOn w:val="Normal"/>
    <w:link w:val="Style12"/>
    <w:semiHidden/>
    <w:rsid w:val="00b74953"/>
    <w:pPr/>
    <w:rPr/>
  </w:style>
  <w:style w:type="paragraph" w:styleId="Header">
    <w:name w:val="header"/>
    <w:basedOn w:val="113"/>
    <w:link w:val="Style17"/>
    <w:uiPriority w:val="99"/>
    <w:rsid w:val="00640466"/>
    <w:pPr/>
    <w:rPr/>
  </w:style>
  <w:style w:type="paragraph" w:styleId="Index1">
    <w:name w:val="index 1"/>
    <w:basedOn w:val="Normal"/>
    <w:autoRedefine/>
    <w:semiHidden/>
    <w:rsid w:val="00b74953"/>
    <w:pPr/>
    <w:rPr/>
  </w:style>
  <w:style w:type="paragraph" w:styleId="Index2">
    <w:name w:val="index 2"/>
    <w:basedOn w:val="Normal"/>
    <w:autoRedefine/>
    <w:semiHidden/>
    <w:rsid w:val="00b74953"/>
    <w:pPr>
      <w:ind w:left="720"/>
    </w:pPr>
    <w:rPr/>
  </w:style>
  <w:style w:type="paragraph" w:styleId="Index3">
    <w:name w:val="index 3"/>
    <w:basedOn w:val="Normal"/>
    <w:autoRedefine/>
    <w:semiHidden/>
    <w:rsid w:val="00b74953"/>
    <w:pPr/>
    <w:rPr/>
  </w:style>
  <w:style w:type="paragraph" w:styleId="Index4">
    <w:name w:val="index 4"/>
    <w:basedOn w:val="Normal"/>
    <w:autoRedefine/>
    <w:semiHidden/>
    <w:qFormat/>
    <w:rsid w:val="00b74953"/>
    <w:pPr>
      <w:ind w:left="1440"/>
    </w:pPr>
    <w:rPr/>
  </w:style>
  <w:style w:type="paragraph" w:styleId="Index5">
    <w:name w:val="index 5"/>
    <w:basedOn w:val="Normal"/>
    <w:autoRedefine/>
    <w:semiHidden/>
    <w:qFormat/>
    <w:rsid w:val="00b74953"/>
    <w:pPr>
      <w:ind w:left="1800"/>
    </w:pPr>
    <w:rPr/>
  </w:style>
  <w:style w:type="paragraph" w:styleId="IndexHeading">
    <w:name w:val="index heading"/>
    <w:basedOn w:val="Normal"/>
    <w:next w:val="Index1"/>
    <w:semiHidden/>
    <w:rsid w:val="00b74953"/>
    <w:pPr>
      <w:spacing w:lineRule="atLeast" w:line="480"/>
    </w:pPr>
    <w:rPr>
      <w:rFonts w:ascii="Arial Black" w:hAnsi="Arial Black"/>
    </w:rPr>
  </w:style>
  <w:style w:type="paragraph" w:styleId="TableofAuthorities">
    <w:name w:val="table of authorities"/>
    <w:basedOn w:val="Normal"/>
    <w:semiHidden/>
    <w:locked/>
    <w:rsid w:val="006504d4"/>
    <w:pPr>
      <w:tabs>
        <w:tab w:val="clear" w:pos="709"/>
        <w:tab w:val="right" w:pos="7560" w:leader="dot"/>
      </w:tabs>
      <w:ind w:hanging="360" w:left="1440"/>
    </w:pPr>
    <w:rPr/>
  </w:style>
  <w:style w:type="paragraph" w:styleId="toaheading">
    <w:name w:val="toa heading"/>
    <w:basedOn w:val="Normal"/>
    <w:next w:val="TableofAuthorities"/>
    <w:semiHidden/>
    <w:qFormat/>
    <w:rsid w:val="006504d4"/>
    <w:pPr>
      <w:keepNext w:val="true"/>
      <w:spacing w:lineRule="atLeast" w:line="480"/>
    </w:pPr>
    <w:rPr>
      <w:rFonts w:ascii="Arial Black" w:hAnsi="Arial Black"/>
      <w:b/>
      <w:spacing w:val="-10"/>
      <w:kern w:val="2"/>
    </w:rPr>
  </w:style>
  <w:style w:type="paragraph" w:styleId="TOC4">
    <w:name w:val="toc 4"/>
    <w:basedOn w:val="Normal"/>
    <w:autoRedefine/>
    <w:uiPriority w:val="39"/>
    <w:rsid w:val="00b74953"/>
    <w:pPr>
      <w:spacing w:before="0" w:after="0"/>
      <w:ind w:left="660"/>
      <w:jc w:val="left"/>
    </w:pPr>
    <w:rPr>
      <w:rFonts w:ascii="Calibri" w:hAnsi="Calibri" w:cs="Calibri"/>
      <w:sz w:val="20"/>
      <w:szCs w:val="20"/>
    </w:rPr>
  </w:style>
  <w:style w:type="paragraph" w:styleId="TOC5">
    <w:name w:val="toc 5"/>
    <w:basedOn w:val="Normal"/>
    <w:autoRedefine/>
    <w:uiPriority w:val="39"/>
    <w:rsid w:val="00b74953"/>
    <w:pPr>
      <w:spacing w:before="0" w:after="0"/>
      <w:ind w:left="880"/>
      <w:jc w:val="left"/>
    </w:pPr>
    <w:rPr>
      <w:rFonts w:ascii="Calibri" w:hAnsi="Calibri" w:cs="Calibri"/>
      <w:sz w:val="20"/>
      <w:szCs w:val="20"/>
    </w:rPr>
  </w:style>
  <w:style w:type="paragraph" w:styleId="TOC6">
    <w:name w:val="toc 6"/>
    <w:basedOn w:val="Normal"/>
    <w:next w:val="Normal"/>
    <w:autoRedefine/>
    <w:uiPriority w:val="39"/>
    <w:rsid w:val="00f8692f"/>
    <w:pPr>
      <w:spacing w:before="0" w:after="0"/>
      <w:ind w:left="1100"/>
      <w:jc w:val="left"/>
    </w:pPr>
    <w:rPr>
      <w:rFonts w:ascii="Calibri" w:hAnsi="Calibri" w:cs="Calibri"/>
      <w:sz w:val="20"/>
      <w:szCs w:val="20"/>
    </w:rPr>
  </w:style>
  <w:style w:type="paragraph" w:styleId="TOC7">
    <w:name w:val="toc 7"/>
    <w:basedOn w:val="Normal"/>
    <w:next w:val="Normal"/>
    <w:autoRedefine/>
    <w:uiPriority w:val="39"/>
    <w:rsid w:val="00f8692f"/>
    <w:pPr>
      <w:spacing w:before="0" w:after="0"/>
      <w:ind w:left="1320"/>
      <w:jc w:val="left"/>
    </w:pPr>
    <w:rPr>
      <w:rFonts w:ascii="Calibri" w:hAnsi="Calibri" w:cs="Calibri"/>
      <w:sz w:val="20"/>
      <w:szCs w:val="20"/>
    </w:rPr>
  </w:style>
  <w:style w:type="paragraph" w:styleId="TOC8">
    <w:name w:val="toc 8"/>
    <w:basedOn w:val="Normal"/>
    <w:next w:val="Normal"/>
    <w:autoRedefine/>
    <w:uiPriority w:val="39"/>
    <w:rsid w:val="00f8692f"/>
    <w:pPr>
      <w:spacing w:before="0" w:after="0"/>
      <w:ind w:left="1540"/>
      <w:jc w:val="left"/>
    </w:pPr>
    <w:rPr>
      <w:rFonts w:ascii="Calibri" w:hAnsi="Calibri" w:cs="Calibri"/>
      <w:sz w:val="20"/>
      <w:szCs w:val="20"/>
    </w:rPr>
  </w:style>
  <w:style w:type="paragraph" w:styleId="TOC9">
    <w:name w:val="toc 9"/>
    <w:basedOn w:val="Normal"/>
    <w:next w:val="Normal"/>
    <w:autoRedefine/>
    <w:uiPriority w:val="39"/>
    <w:rsid w:val="00f8692f"/>
    <w:pPr>
      <w:spacing w:before="0" w:after="0"/>
      <w:ind w:left="1760"/>
      <w:jc w:val="left"/>
    </w:pPr>
    <w:rPr>
      <w:rFonts w:ascii="Calibri" w:hAnsi="Calibri" w:cs="Calibri"/>
      <w:sz w:val="20"/>
      <w:szCs w:val="20"/>
    </w:rPr>
  </w:style>
  <w:style w:type="paragraph" w:styleId="DocumentMap">
    <w:name w:val="Document Map"/>
    <w:basedOn w:val="Normal"/>
    <w:link w:val="Style18"/>
    <w:semiHidden/>
    <w:qFormat/>
    <w:rsid w:val="00f75d18"/>
    <w:pPr>
      <w:shd w:val="clear" w:color="auto" w:fill="000080"/>
    </w:pPr>
    <w:rPr>
      <w:rFonts w:ascii="Tahoma" w:hAnsi="Tahoma" w:cs="Tahoma"/>
    </w:rPr>
  </w:style>
  <w:style w:type="paragraph" w:styleId="Style34" w:customStyle="1">
    <w:name w:val="рисунок"/>
    <w:basedOn w:val="Normal"/>
    <w:next w:val="Normal"/>
    <w:link w:val="Style14"/>
    <w:semiHidden/>
    <w:qFormat/>
    <w:rsid w:val="00d02b39"/>
    <w:pPr>
      <w:keepNext w:val="true"/>
      <w:widowControl/>
      <w:spacing w:lineRule="auto" w:line="360"/>
      <w:jc w:val="center"/>
      <w:textAlignment w:val="auto"/>
    </w:pPr>
    <w:rPr>
      <w:spacing w:val="0"/>
      <w:lang w:eastAsia="ru-RU"/>
    </w:rPr>
  </w:style>
  <w:style w:type="paragraph" w:styleId="0" w:customStyle="1">
    <w:name w:val="Заголовок 0"/>
    <w:basedOn w:val="Heading1"/>
    <w:qFormat/>
    <w:rsid w:val="000f3502"/>
    <w:pPr>
      <w:keepLines w:val="false"/>
      <w:pageBreakBefore w:val="false"/>
      <w:numPr>
        <w:ilvl w:val="0"/>
        <w:numId w:val="1"/>
      </w:numPr>
      <w:pBdr>
        <w:top w:val="nil"/>
        <w:left w:val="nil"/>
        <w:bottom w:val="nil"/>
      </w:pBdr>
      <w:spacing w:lineRule="auto" w:line="240" w:before="120" w:after="0"/>
      <w:jc w:val="center"/>
      <w:textAlignment w:val="auto"/>
    </w:pPr>
    <w:rPr>
      <w:rFonts w:ascii="Times New Roman" w:hAnsi="Times New Roman"/>
      <w:spacing w:val="0"/>
      <w:kern w:val="0"/>
      <w:lang w:eastAsia="ru-RU"/>
    </w:rPr>
  </w:style>
  <w:style w:type="paragraph" w:styleId="user" w:customStyle="1">
    <w:name w:val="Заголовок таблицы (user)"/>
    <w:basedOn w:val="Normal"/>
    <w:next w:val="Normal"/>
    <w:link w:val="Style15"/>
    <w:qFormat/>
    <w:rsid w:val="00a61bbe"/>
    <w:pPr>
      <w:keepNext w:val="true"/>
      <w:keepLines/>
      <w:widowControl/>
      <w:spacing w:lineRule="auto" w:line="360" w:before="80" w:after="80"/>
      <w:jc w:val="left"/>
      <w:textAlignment w:val="auto"/>
    </w:pPr>
    <w:rPr>
      <w:spacing w:val="0"/>
      <w:lang w:eastAsia="ru-RU"/>
    </w:rPr>
  </w:style>
  <w:style w:type="paragraph" w:styleId="TOCHeading">
    <w:name w:val="TOC Heading"/>
    <w:basedOn w:val="Heading1"/>
    <w:next w:val="Normal"/>
    <w:uiPriority w:val="39"/>
    <w:unhideWhenUsed/>
    <w:qFormat/>
    <w:rsid w:val="00fa3dd6"/>
    <w:pPr>
      <w:pageBreakBefore w:val="false"/>
      <w:numPr>
        <w:ilvl w:val="0"/>
        <w:numId w:val="1"/>
      </w:numPr>
      <w:pBdr>
        <w:top w:val="nil"/>
        <w:left w:val="nil"/>
        <w:bottom w:val="nil"/>
      </w:pBdr>
      <w:spacing w:lineRule="auto" w:line="276" w:before="480" w:after="0"/>
      <w:textAlignment w:val="auto"/>
      <w:outlineLvl w:val="9"/>
    </w:pPr>
    <w:rPr>
      <w:rFonts w:ascii="Cambria" w:hAnsi="Cambria"/>
      <w:b/>
      <w:bCs/>
      <w:caps w:val="false"/>
      <w:smallCaps w:val="false"/>
      <w:color w:val="365F91"/>
      <w:spacing w:val="0"/>
      <w:kern w:val="0"/>
      <w:sz w:val="28"/>
      <w:szCs w:val="28"/>
    </w:rPr>
  </w:style>
  <w:style w:type="paragraph" w:styleId="ListNumber">
    <w:name w:val="List Number"/>
    <w:basedOn w:val="Normal"/>
    <w:qFormat/>
    <w:rsid w:val="008e7eb4"/>
    <w:pPr>
      <w:numPr>
        <w:ilvl w:val="0"/>
        <w:numId w:val="2"/>
      </w:numPr>
      <w:spacing w:before="120" w:after="120"/>
      <w:contextualSpacing/>
    </w:pPr>
    <w:rPr/>
  </w:style>
  <w:style w:type="paragraph" w:styleId="List3">
    <w:name w:val="List 3"/>
    <w:basedOn w:val="List"/>
    <w:qFormat/>
    <w:rsid w:val="00c34d8e"/>
    <w:pPr>
      <w:ind w:left="2160"/>
    </w:pPr>
    <w:rPr/>
  </w:style>
  <w:style w:type="paragraph" w:styleId="List4">
    <w:name w:val="List 4"/>
    <w:basedOn w:val="List"/>
    <w:qFormat/>
    <w:rsid w:val="00c34d8e"/>
    <w:pPr>
      <w:ind w:left="2520"/>
    </w:pPr>
    <w:rPr/>
  </w:style>
  <w:style w:type="paragraph" w:styleId="List5">
    <w:name w:val="List 5"/>
    <w:basedOn w:val="List"/>
    <w:qFormat/>
    <w:rsid w:val="00c34d8e"/>
    <w:pPr>
      <w:ind w:left="2880"/>
    </w:pPr>
    <w:rPr/>
  </w:style>
  <w:style w:type="paragraph" w:styleId="ListBullet3">
    <w:name w:val="List Bullet 3"/>
    <w:basedOn w:val="Normal"/>
    <w:rsid w:val="00a7049c"/>
    <w:pPr>
      <w:numPr>
        <w:ilvl w:val="0"/>
        <w:numId w:val="3"/>
      </w:numPr>
      <w:ind w:hanging="357" w:left="714"/>
    </w:pPr>
    <w:rPr/>
  </w:style>
  <w:style w:type="paragraph" w:styleId="ListBullet4">
    <w:name w:val="List Bullet 4"/>
    <w:basedOn w:val="Normal"/>
    <w:autoRedefine/>
    <w:rsid w:val="00084a18"/>
    <w:pPr>
      <w:ind w:hanging="0"/>
    </w:pPr>
    <w:rPr/>
  </w:style>
  <w:style w:type="paragraph" w:styleId="ListBullet5">
    <w:name w:val="List Bullet 5"/>
    <w:basedOn w:val="Normal"/>
    <w:autoRedefine/>
    <w:rsid w:val="00084a18"/>
    <w:pPr>
      <w:ind w:hanging="0"/>
    </w:pPr>
    <w:rPr/>
  </w:style>
  <w:style w:type="paragraph" w:styleId="ListNumber2">
    <w:name w:val="List Number 2"/>
    <w:basedOn w:val="ListNumber"/>
    <w:rsid w:val="00c34d8e"/>
    <w:pPr>
      <w:numPr>
        <w:ilvl w:val="0"/>
        <w:numId w:val="0"/>
      </w:numPr>
      <w:spacing w:before="120" w:after="120"/>
      <w:ind w:firstLine="567"/>
      <w:contextualSpacing w:val="false"/>
    </w:pPr>
    <w:rPr/>
  </w:style>
  <w:style w:type="paragraph" w:styleId="ListNumber3">
    <w:name w:val="List Number 3"/>
    <w:basedOn w:val="ListNumber"/>
    <w:rsid w:val="00c34d8e"/>
    <w:pPr>
      <w:numPr>
        <w:ilvl w:val="0"/>
        <w:numId w:val="0"/>
      </w:numPr>
      <w:spacing w:before="120" w:after="120"/>
      <w:ind w:firstLine="567"/>
      <w:contextualSpacing w:val="false"/>
    </w:pPr>
    <w:rPr/>
  </w:style>
  <w:style w:type="paragraph" w:styleId="ListNumber4">
    <w:name w:val="List Number 4"/>
    <w:basedOn w:val="ListNumber"/>
    <w:rsid w:val="00c34d8e"/>
    <w:pPr>
      <w:numPr>
        <w:ilvl w:val="0"/>
        <w:numId w:val="0"/>
      </w:numPr>
      <w:spacing w:before="120" w:after="120"/>
      <w:ind w:firstLine="567"/>
      <w:contextualSpacing w:val="false"/>
    </w:pPr>
    <w:rPr/>
  </w:style>
  <w:style w:type="paragraph" w:styleId="ListNumber5">
    <w:name w:val="List Number 5"/>
    <w:basedOn w:val="ListNumber"/>
    <w:rsid w:val="00c34d8e"/>
    <w:pPr>
      <w:numPr>
        <w:ilvl w:val="0"/>
        <w:numId w:val="0"/>
      </w:numPr>
      <w:spacing w:before="120" w:after="120"/>
      <w:ind w:firstLine="567"/>
      <w:contextualSpacing w:val="false"/>
    </w:pPr>
    <w:rPr/>
  </w:style>
  <w:style w:type="paragraph" w:styleId="Style35" w:customStyle="1">
    <w:name w:val="Нормальный"/>
    <w:qFormat/>
    <w:rsid w:val="00c34d8e"/>
    <w:pPr>
      <w:widowControl/>
      <w:tabs>
        <w:tab w:val="clear" w:pos="709"/>
        <w:tab w:val="left" w:pos="567" w:leader="none"/>
        <w:tab w:val="left" w:pos="2268" w:leader="none"/>
        <w:tab w:val="left" w:pos="3118" w:leader="none"/>
        <w:tab w:val="left" w:pos="4039" w:leader="none"/>
        <w:tab w:val="left" w:pos="4819" w:leader="none"/>
        <w:tab w:val="left" w:pos="5670" w:leader="none"/>
        <w:tab w:val="left" w:pos="6520" w:leader="none"/>
      </w:tabs>
      <w:bidi w:val="0"/>
      <w:spacing w:lineRule="auto" w:line="360" w:before="0" w:after="0"/>
      <w:jc w:val="left"/>
    </w:pPr>
    <w:rPr>
      <w:rFonts w:ascii="Courier New" w:hAnsi="Courier New" w:eastAsia="Times New Roman" w:cs="Times New Roman"/>
      <w:b/>
      <w:color w:val="auto"/>
      <w:kern w:val="0"/>
      <w:sz w:val="24"/>
      <w:szCs w:val="20"/>
      <w:lang w:val="ru-RU" w:eastAsia="ru-RU" w:bidi="ar-SA"/>
    </w:rPr>
  </w:style>
  <w:style w:type="paragraph" w:styleId="ListBullet">
    <w:name w:val="List Bullet"/>
    <w:basedOn w:val="List"/>
    <w:link w:val="Style19"/>
    <w:rsid w:val="00262801"/>
    <w:pPr>
      <w:numPr>
        <w:ilvl w:val="0"/>
        <w:numId w:val="4"/>
      </w:numPr>
      <w:tabs>
        <w:tab w:val="clear" w:pos="709"/>
        <w:tab w:val="left" w:pos="993" w:leader="none"/>
      </w:tabs>
      <w:ind w:hanging="0" w:left="567"/>
    </w:pPr>
    <w:rPr>
      <w:rFonts w:eastAsia="Times New Roman"/>
      <w:sz w:val="22"/>
    </w:rPr>
  </w:style>
  <w:style w:type="paragraph" w:styleId="ListBullet2">
    <w:name w:val="List Bullet 2"/>
    <w:basedOn w:val="ListBullet"/>
    <w:autoRedefine/>
    <w:rsid w:val="00825f91"/>
    <w:pPr>
      <w:numPr>
        <w:ilvl w:val="0"/>
        <w:numId w:val="5"/>
      </w:numPr>
    </w:pPr>
    <w:rPr/>
  </w:style>
  <w:style w:type="paragraph" w:styleId="TableofFigures">
    <w:name w:val="table of figures"/>
    <w:basedOn w:val="Normal"/>
    <w:uiPriority w:val="99"/>
    <w:rsid w:val="00496aff"/>
    <w:pPr>
      <w:spacing w:before="0" w:after="0"/>
      <w:ind w:hanging="0"/>
    </w:pPr>
    <w:rPr>
      <w:rFonts w:ascii="Times New Roman" w:hAnsi="Times New Roman" w:eastAsia="Times New Roman"/>
      <w:i/>
      <w:iCs/>
      <w:sz w:val="20"/>
      <w:szCs w:val="20"/>
      <w:lang w:val="en-US"/>
    </w:rPr>
  </w:style>
  <w:style w:type="paragraph" w:styleId="ListParagraph">
    <w:name w:val="List Paragraph"/>
    <w:basedOn w:val="Normal"/>
    <w:uiPriority w:val="34"/>
    <w:qFormat/>
    <w:rsid w:val="00da2372"/>
    <w:pPr>
      <w:spacing w:before="120" w:after="120"/>
      <w:ind w:left="720"/>
      <w:contextualSpacing/>
    </w:pPr>
    <w:rPr/>
  </w:style>
  <w:style w:type="paragraph" w:styleId="TOC1">
    <w:name w:val="toc 1"/>
    <w:basedOn w:val="Normal"/>
    <w:next w:val="Normal"/>
    <w:autoRedefine/>
    <w:uiPriority w:val="39"/>
    <w:qFormat/>
    <w:rsid w:val="00543198"/>
    <w:pPr>
      <w:tabs>
        <w:tab w:val="clear" w:pos="709"/>
        <w:tab w:val="left" w:pos="1100" w:leader="none"/>
        <w:tab w:val="right" w:pos="9061" w:leader="dot"/>
      </w:tabs>
      <w:spacing w:before="120" w:after="0"/>
    </w:pPr>
    <w:rPr>
      <w:rFonts w:ascii="Calibri" w:hAnsi="Calibri" w:cs="Calibri"/>
      <w:b/>
      <w:bCs/>
      <w:iCs/>
      <w:sz w:val="24"/>
      <w:szCs w:val="24"/>
    </w:rPr>
  </w:style>
  <w:style w:type="paragraph" w:styleId="TOC2">
    <w:name w:val="toc 2"/>
    <w:basedOn w:val="Normal"/>
    <w:next w:val="Normal"/>
    <w:autoRedefine/>
    <w:uiPriority w:val="39"/>
    <w:qFormat/>
    <w:rsid w:val="00543198"/>
    <w:pPr>
      <w:tabs>
        <w:tab w:val="clear" w:pos="709"/>
        <w:tab w:val="left" w:pos="1320" w:leader="none"/>
        <w:tab w:val="right" w:pos="9061" w:leader="dot"/>
      </w:tabs>
      <w:spacing w:before="120" w:after="0"/>
      <w:ind w:left="220"/>
    </w:pPr>
    <w:rPr>
      <w:rFonts w:ascii="Calibri" w:hAnsi="Calibri" w:cs="Calibri"/>
      <w:b/>
      <w:bCs/>
    </w:rPr>
  </w:style>
  <w:style w:type="paragraph" w:styleId="TOC3">
    <w:name w:val="toc 3"/>
    <w:basedOn w:val="Normal"/>
    <w:next w:val="Normal"/>
    <w:autoRedefine/>
    <w:uiPriority w:val="39"/>
    <w:qFormat/>
    <w:rsid w:val="001b5d05"/>
    <w:pPr>
      <w:spacing w:before="0" w:after="0"/>
      <w:ind w:left="440"/>
      <w:jc w:val="left"/>
    </w:pPr>
    <w:rPr>
      <w:rFonts w:ascii="Calibri" w:hAnsi="Calibri" w:cs="Calibri"/>
      <w:sz w:val="20"/>
      <w:szCs w:val="20"/>
    </w:rPr>
  </w:style>
  <w:style w:type="paragraph" w:styleId="110956" w:customStyle="1">
    <w:name w:val="Стиль Основной текст + 11 пт Первая строка:  095 см Перед:  6 пт"/>
    <w:basedOn w:val="Normal"/>
    <w:semiHidden/>
    <w:qFormat/>
    <w:rsid w:val="005e4f4b"/>
    <w:pPr>
      <w:widowControl/>
      <w:spacing w:lineRule="auto" w:line="360" w:before="120" w:after="0"/>
      <w:ind w:firstLine="709"/>
      <w:textAlignment w:val="auto"/>
    </w:pPr>
    <w:rPr>
      <w:rFonts w:eastAsia="Times New Roman"/>
      <w:spacing w:val="0"/>
      <w:sz w:val="24"/>
      <w:szCs w:val="20"/>
      <w:lang w:eastAsia="ru-RU"/>
    </w:rPr>
  </w:style>
  <w:style w:type="paragraph" w:styleId="HTMLPreformatted">
    <w:name w:val="HTML Preformatted"/>
    <w:basedOn w:val="Normal"/>
    <w:link w:val="HTML"/>
    <w:unhideWhenUsed/>
    <w:qFormat/>
    <w:rsid w:val="005e4f4b"/>
    <w:pPr>
      <w:widowControl/>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ind w:hanging="0"/>
      <w:jc w:val="left"/>
      <w:textAlignment w:val="auto"/>
    </w:pPr>
    <w:rPr>
      <w:rFonts w:ascii="Courier New" w:hAnsi="Courier New" w:eastAsia="Times New Roman" w:cs="Courier New"/>
      <w:spacing w:val="0"/>
      <w:sz w:val="20"/>
      <w:szCs w:val="20"/>
      <w:lang w:eastAsia="ru-RU"/>
    </w:rPr>
  </w:style>
  <w:style w:type="paragraph" w:styleId="NormalWeb">
    <w:name w:val="Normal (Web)"/>
    <w:basedOn w:val="Normal"/>
    <w:uiPriority w:val="99"/>
    <w:qFormat/>
    <w:rsid w:val="005e4f4b"/>
    <w:pPr>
      <w:widowControl/>
      <w:spacing w:beforeAutospacing="1" w:afterAutospacing="1"/>
      <w:ind w:hanging="0"/>
      <w:jc w:val="left"/>
      <w:textAlignment w:val="auto"/>
    </w:pPr>
    <w:rPr>
      <w:rFonts w:ascii="Tahoma" w:hAnsi="Tahoma" w:eastAsia="Times New Roman" w:cs="Tahoma"/>
      <w:color w:val="636363"/>
      <w:spacing w:val="0"/>
      <w:sz w:val="17"/>
      <w:szCs w:val="17"/>
      <w:lang w:eastAsia="ru-RU"/>
    </w:rPr>
  </w:style>
  <w:style w:type="paragraph" w:styleId="BodyTextIndent">
    <w:name w:val="Body Text Indent"/>
    <w:basedOn w:val="Normal"/>
    <w:link w:val="Style20"/>
    <w:unhideWhenUsed/>
    <w:rsid w:val="005e4f4b"/>
    <w:pPr>
      <w:widowControl/>
      <w:spacing w:lineRule="auto" w:line="276" w:before="0" w:after="120"/>
      <w:ind w:hanging="0" w:left="283"/>
      <w:jc w:val="left"/>
      <w:textAlignment w:val="auto"/>
    </w:pPr>
    <w:rPr>
      <w:rFonts w:ascii="Calibri" w:hAnsi="Calibri" w:eastAsia="Calibri"/>
      <w:spacing w:val="0"/>
    </w:rPr>
  </w:style>
  <w:style w:type="paragraph" w:styleId="Style36" w:customStyle="1">
    <w:name w:val="Подрисуночный текст"/>
    <w:basedOn w:val="Normal"/>
    <w:next w:val="Normal"/>
    <w:link w:val="Style21"/>
    <w:qFormat/>
    <w:rsid w:val="005e4f4b"/>
    <w:pPr>
      <w:keepNext w:val="true"/>
      <w:widowControl/>
      <w:spacing w:lineRule="auto" w:line="360"/>
      <w:jc w:val="center"/>
      <w:textAlignment w:val="auto"/>
    </w:pPr>
    <w:rPr>
      <w:spacing w:val="0"/>
      <w:lang w:eastAsia="ru-RU"/>
    </w:rPr>
  </w:style>
  <w:style w:type="paragraph" w:styleId="ListContinue">
    <w:name w:val="List Continue"/>
    <w:basedOn w:val="List"/>
    <w:rsid w:val="005e4f4b"/>
    <w:pPr/>
    <w:rPr/>
  </w:style>
  <w:style w:type="paragraph" w:styleId="ListContinue2">
    <w:name w:val="List Continue 2"/>
    <w:basedOn w:val="ListContinue"/>
    <w:rsid w:val="005e4f4b"/>
    <w:pPr>
      <w:ind w:left="2160"/>
    </w:pPr>
    <w:rPr/>
  </w:style>
  <w:style w:type="paragraph" w:styleId="ListContinue3">
    <w:name w:val="List Continue 3"/>
    <w:basedOn w:val="ListContinue"/>
    <w:rsid w:val="005e4f4b"/>
    <w:pPr>
      <w:ind w:left="2520"/>
    </w:pPr>
    <w:rPr/>
  </w:style>
  <w:style w:type="paragraph" w:styleId="ListContinue4">
    <w:name w:val="List Continue 4"/>
    <w:basedOn w:val="ListContinue"/>
    <w:rsid w:val="005e4f4b"/>
    <w:pPr>
      <w:ind w:left="2880"/>
    </w:pPr>
    <w:rPr/>
  </w:style>
  <w:style w:type="paragraph" w:styleId="ListContinue5">
    <w:name w:val="List Continue 5"/>
    <w:basedOn w:val="ListContinue"/>
    <w:rsid w:val="005e4f4b"/>
    <w:pPr>
      <w:ind w:left="3240"/>
    </w:pPr>
    <w:rPr/>
  </w:style>
  <w:style w:type="paragraph" w:styleId="BodyTextIndent2">
    <w:name w:val="Body Text Indent 2"/>
    <w:basedOn w:val="Normal"/>
    <w:link w:val="22"/>
    <w:qFormat/>
    <w:rsid w:val="005e4f4b"/>
    <w:pPr>
      <w:spacing w:lineRule="auto" w:line="480" w:before="0" w:after="120"/>
      <w:ind w:hanging="0" w:left="283"/>
    </w:pPr>
    <w:rPr>
      <w:rFonts w:eastAsia="Times New Roman"/>
      <w:sz w:val="20"/>
      <w:szCs w:val="20"/>
      <w:lang w:val="en-US"/>
    </w:rPr>
  </w:style>
  <w:style w:type="paragraph" w:styleId="BodyTextIndent3">
    <w:name w:val="Body Text Indent 3"/>
    <w:basedOn w:val="Normal"/>
    <w:link w:val="31"/>
    <w:qFormat/>
    <w:rsid w:val="005e4f4b"/>
    <w:pPr>
      <w:spacing w:lineRule="auto" w:line="360" w:before="0" w:after="0"/>
      <w:ind w:firstLine="709"/>
    </w:pPr>
    <w:rPr>
      <w:rFonts w:ascii="Times New Roman" w:hAnsi="Times New Roman" w:eastAsia="Times New Roman"/>
      <w:color w:val="444444"/>
      <w:spacing w:val="0"/>
      <w:sz w:val="24"/>
      <w:szCs w:val="20"/>
      <w:lang w:eastAsia="ru-RU"/>
    </w:rPr>
  </w:style>
  <w:style w:type="paragraph" w:styleId="BodyText3">
    <w:name w:val="Body Text 3"/>
    <w:basedOn w:val="Normal"/>
    <w:link w:val="32"/>
    <w:uiPriority w:val="99"/>
    <w:qFormat/>
    <w:rsid w:val="007d5adc"/>
    <w:pPr>
      <w:widowControl/>
      <w:spacing w:before="0" w:after="120"/>
      <w:ind w:hanging="0"/>
      <w:jc w:val="left"/>
      <w:textAlignment w:val="auto"/>
    </w:pPr>
    <w:rPr>
      <w:rFonts w:ascii="Times New Roman" w:hAnsi="Times New Roman" w:eastAsia="Times New Roman"/>
      <w:spacing w:val="0"/>
      <w:sz w:val="16"/>
      <w:szCs w:val="16"/>
      <w:lang w:eastAsia="ru-RU"/>
    </w:rPr>
  </w:style>
  <w:style w:type="paragraph" w:styleId="Style37" w:customStyle="1">
    <w:name w:val="Подпись рисунков/таблиц"/>
    <w:basedOn w:val="Caption"/>
    <w:uiPriority w:val="99"/>
    <w:qFormat/>
    <w:rsid w:val="00d50fba"/>
    <w:pPr>
      <w:keepNext w:val="true"/>
      <w:widowControl/>
      <w:spacing w:lineRule="auto" w:line="360" w:before="120" w:after="0"/>
      <w:ind w:firstLine="426"/>
      <w:jc w:val="center"/>
      <w:textAlignment w:val="auto"/>
    </w:pPr>
    <w:rPr>
      <w:rFonts w:ascii="Times New Roman" w:hAnsi="Times New Roman" w:eastAsia="Times New Roman"/>
      <w:b w:val="false"/>
      <w:spacing w:val="0"/>
      <w:sz w:val="20"/>
      <w:lang w:eastAsia="ru-RU"/>
    </w:rPr>
  </w:style>
  <w:style w:type="paragraph" w:styleId="113" w:customStyle="1">
    <w:name w:val="Маркированный_1"/>
    <w:basedOn w:val="Normal"/>
    <w:link w:val="11"/>
    <w:qFormat/>
    <w:rsid w:val="00640466"/>
    <w:pPr>
      <w:widowControl/>
      <w:numPr>
        <w:ilvl w:val="1"/>
        <w:numId w:val="6"/>
      </w:numPr>
      <w:tabs>
        <w:tab w:val="clear" w:pos="709"/>
        <w:tab w:val="left" w:pos="900" w:leader="none"/>
      </w:tabs>
      <w:spacing w:lineRule="auto" w:line="360" w:before="0" w:after="0"/>
      <w:ind w:firstLine="720" w:left="0"/>
      <w:textAlignment w:val="auto"/>
    </w:pPr>
    <w:rPr>
      <w:rFonts w:ascii="Times New Roman" w:hAnsi="Times New Roman" w:eastAsia="Times New Roman"/>
      <w:spacing w:val="0"/>
      <w:sz w:val="24"/>
      <w:szCs w:val="24"/>
      <w:lang w:eastAsia="ru-RU"/>
    </w:rPr>
  </w:style>
  <w:style w:type="paragraph" w:styleId="annotationsubject">
    <w:name w:val="annotation subject"/>
    <w:basedOn w:val="CommentText"/>
    <w:next w:val="CommentText"/>
    <w:link w:val="Style23"/>
    <w:qFormat/>
    <w:rsid w:val="0074589a"/>
    <w:pPr/>
    <w:rPr>
      <w:b/>
      <w:bCs/>
      <w:sz w:val="20"/>
      <w:szCs w:val="20"/>
    </w:rPr>
  </w:style>
  <w:style w:type="paragraph" w:styleId="BodyTextKeep" w:customStyle="1">
    <w:name w:val="Body Text Keep"/>
    <w:basedOn w:val="Normal"/>
    <w:link w:val="BodyTextKeepChar"/>
    <w:qFormat/>
    <w:rsid w:val="003c2fec"/>
    <w:pPr>
      <w:widowControl/>
      <w:spacing w:lineRule="atLeast" w:line="360"/>
    </w:pPr>
    <w:rPr>
      <w:rFonts w:eastAsia="Times New Roman"/>
      <w:kern w:val="2"/>
    </w:rPr>
  </w:style>
  <w:style w:type="paragraph" w:styleId="font5" w:customStyle="1">
    <w:name w:val="font5"/>
    <w:basedOn w:val="Normal"/>
    <w:qFormat/>
    <w:rsid w:val="00161859"/>
    <w:pPr>
      <w:widowControl/>
      <w:spacing w:beforeAutospacing="1" w:afterAutospacing="1"/>
      <w:ind w:hanging="0"/>
      <w:jc w:val="left"/>
      <w:textAlignment w:val="auto"/>
    </w:pPr>
    <w:rPr>
      <w:rFonts w:ascii="Tahoma" w:hAnsi="Tahoma" w:eastAsia="Times New Roman" w:cs="Tahoma"/>
      <w:color w:val="000000"/>
      <w:spacing w:val="0"/>
      <w:sz w:val="16"/>
      <w:szCs w:val="16"/>
      <w:lang w:eastAsia="ru-RU"/>
    </w:rPr>
  </w:style>
  <w:style w:type="paragraph" w:styleId="font6" w:customStyle="1">
    <w:name w:val="font6"/>
    <w:basedOn w:val="Normal"/>
    <w:qFormat/>
    <w:rsid w:val="00161859"/>
    <w:pPr>
      <w:widowControl/>
      <w:spacing w:beforeAutospacing="1" w:afterAutospacing="1"/>
      <w:ind w:hanging="0"/>
      <w:jc w:val="left"/>
      <w:textAlignment w:val="auto"/>
    </w:pPr>
    <w:rPr>
      <w:rFonts w:ascii="Tahoma" w:hAnsi="Tahoma" w:eastAsia="Times New Roman" w:cs="Tahoma"/>
      <w:b/>
      <w:bCs/>
      <w:color w:val="000000"/>
      <w:spacing w:val="0"/>
      <w:sz w:val="16"/>
      <w:szCs w:val="16"/>
      <w:lang w:eastAsia="ru-RU"/>
    </w:rPr>
  </w:style>
  <w:style w:type="paragraph" w:styleId="xl108" w:customStyle="1">
    <w:name w:val="xl10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09" w:customStyle="1">
    <w:name w:val="xl10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0" w:customStyle="1">
    <w:name w:val="xl11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1" w:customStyle="1">
    <w:name w:val="xl11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2" w:customStyle="1">
    <w:name w:val="xl11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3" w:customStyle="1">
    <w:name w:val="xl11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4" w:customStyle="1">
    <w:name w:val="xl11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5" w:customStyle="1">
    <w:name w:val="xl11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b/>
      <w:bCs/>
      <w:spacing w:val="0"/>
      <w:sz w:val="24"/>
      <w:szCs w:val="24"/>
      <w:lang w:eastAsia="ru-RU"/>
    </w:rPr>
  </w:style>
  <w:style w:type="paragraph" w:styleId="xl116" w:customStyle="1">
    <w:name w:val="xl11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spacing w:val="0"/>
      <w:sz w:val="24"/>
      <w:szCs w:val="24"/>
      <w:lang w:eastAsia="ru-RU"/>
    </w:rPr>
  </w:style>
  <w:style w:type="paragraph" w:styleId="xl117" w:customStyle="1">
    <w:name w:val="xl11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spacing w:val="0"/>
      <w:sz w:val="24"/>
      <w:szCs w:val="24"/>
      <w:lang w:eastAsia="ru-RU"/>
    </w:rPr>
  </w:style>
  <w:style w:type="paragraph" w:styleId="xl118" w:customStyle="1">
    <w:name w:val="xl11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9" w:customStyle="1">
    <w:name w:val="xl11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20" w:customStyle="1">
    <w:name w:val="xl120"/>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21" w:customStyle="1">
    <w:name w:val="xl12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22" w:customStyle="1">
    <w:name w:val="xl12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23" w:customStyle="1">
    <w:name w:val="xl12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24" w:customStyle="1">
    <w:name w:val="xl12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25" w:customStyle="1">
    <w:name w:val="xl12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26" w:customStyle="1">
    <w:name w:val="xl12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16"/>
      <w:szCs w:val="16"/>
      <w:lang w:eastAsia="ru-RU"/>
    </w:rPr>
  </w:style>
  <w:style w:type="paragraph" w:styleId="xl127" w:customStyle="1">
    <w:name w:val="xl12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16"/>
      <w:szCs w:val="16"/>
      <w:lang w:eastAsia="ru-RU"/>
    </w:rPr>
  </w:style>
  <w:style w:type="paragraph" w:styleId="xl128" w:customStyle="1">
    <w:name w:val="xl12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29" w:customStyle="1">
    <w:name w:val="xl12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130" w:customStyle="1">
    <w:name w:val="xl13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31" w:customStyle="1">
    <w:name w:val="xl131"/>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32" w:customStyle="1">
    <w:name w:val="xl132"/>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33" w:customStyle="1">
    <w:name w:val="xl133"/>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34" w:customStyle="1">
    <w:name w:val="xl13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color w:val="FFFFFF"/>
      <w:spacing w:val="0"/>
      <w:sz w:val="24"/>
      <w:szCs w:val="24"/>
      <w:lang w:eastAsia="ru-RU"/>
    </w:rPr>
  </w:style>
  <w:style w:type="paragraph" w:styleId="xl135" w:customStyle="1">
    <w:name w:val="xl13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color w:val="FFFFFF"/>
      <w:spacing w:val="0"/>
      <w:sz w:val="24"/>
      <w:szCs w:val="24"/>
      <w:lang w:eastAsia="ru-RU"/>
    </w:rPr>
  </w:style>
  <w:style w:type="paragraph" w:styleId="xl136" w:customStyle="1">
    <w:name w:val="xl13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7" w:customStyle="1">
    <w:name w:val="xl13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8" w:customStyle="1">
    <w:name w:val="xl13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9" w:customStyle="1">
    <w:name w:val="xl13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0" w:customStyle="1">
    <w:name w:val="xl14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1" w:customStyle="1">
    <w:name w:val="xl14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2" w:customStyle="1">
    <w:name w:val="xl14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3" w:customStyle="1">
    <w:name w:val="xl143"/>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4" w:customStyle="1">
    <w:name w:val="xl14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5" w:customStyle="1">
    <w:name w:val="xl14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6" w:customStyle="1">
    <w:name w:val="xl14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7" w:customStyle="1">
    <w:name w:val="xl14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8" w:customStyle="1">
    <w:name w:val="xl14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9" w:customStyle="1">
    <w:name w:val="xl14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b/>
      <w:bCs/>
      <w:spacing w:val="0"/>
      <w:sz w:val="24"/>
      <w:szCs w:val="24"/>
      <w:lang w:eastAsia="ru-RU"/>
    </w:rPr>
  </w:style>
  <w:style w:type="paragraph" w:styleId="xl150" w:customStyle="1">
    <w:name w:val="xl15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1" w:customStyle="1">
    <w:name w:val="xl15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52" w:customStyle="1">
    <w:name w:val="xl15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53" w:customStyle="1">
    <w:name w:val="xl15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4" w:customStyle="1">
    <w:name w:val="xl154"/>
    <w:basedOn w:val="Normal"/>
    <w:qFormat/>
    <w:rsid w:val="00161859"/>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5" w:customStyle="1">
    <w:name w:val="xl155"/>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6" w:customStyle="1">
    <w:name w:val="xl156"/>
    <w:basedOn w:val="Normal"/>
    <w:qFormat/>
    <w:rsid w:val="00161859"/>
    <w:pPr>
      <w:widowControl/>
      <w:pBdr>
        <w:top w:val="single" w:sz="4" w:space="0" w:color="000000"/>
        <w:bottom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57" w:customStyle="1">
    <w:name w:val="xl157"/>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58" w:customStyle="1">
    <w:name w:val="xl158"/>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9" w:customStyle="1">
    <w:name w:val="xl159"/>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60" w:customStyle="1">
    <w:name w:val="xl160"/>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61" w:customStyle="1">
    <w:name w:val="xl161"/>
    <w:basedOn w:val="Normal"/>
    <w:qFormat/>
    <w:rsid w:val="00161859"/>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2" w:customStyle="1">
    <w:name w:val="xl16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b/>
      <w:bCs/>
      <w:spacing w:val="0"/>
      <w:sz w:val="24"/>
      <w:szCs w:val="24"/>
      <w:lang w:eastAsia="ru-RU"/>
    </w:rPr>
  </w:style>
  <w:style w:type="paragraph" w:styleId="xl163" w:customStyle="1">
    <w:name w:val="xl16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4" w:customStyle="1">
    <w:name w:val="xl16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color w:val="FFFFFF"/>
      <w:spacing w:val="0"/>
      <w:sz w:val="24"/>
      <w:szCs w:val="24"/>
      <w:lang w:eastAsia="ru-RU"/>
    </w:rPr>
  </w:style>
  <w:style w:type="paragraph" w:styleId="xl165" w:customStyle="1">
    <w:name w:val="xl16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0000"/>
      <w:spacing w:val="0"/>
      <w:sz w:val="24"/>
      <w:szCs w:val="24"/>
      <w:lang w:eastAsia="ru-RU"/>
    </w:rPr>
  </w:style>
  <w:style w:type="paragraph" w:styleId="xl166" w:customStyle="1">
    <w:name w:val="xl166"/>
    <w:basedOn w:val="Normal"/>
    <w:qFormat/>
    <w:rsid w:val="00161859"/>
    <w:pPr>
      <w:widowControl/>
      <w:pBdr>
        <w:top w:val="single" w:sz="4" w:space="0" w:color="000000"/>
        <w:left w:val="single" w:sz="8"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7" w:customStyle="1">
    <w:name w:val="xl167"/>
    <w:basedOn w:val="Normal"/>
    <w:qFormat/>
    <w:rsid w:val="00161859"/>
    <w:pPr>
      <w:widowControl/>
      <w:pBdr>
        <w:top w:val="single" w:sz="4" w:space="0" w:color="000000"/>
        <w:bottom w:val="single" w:sz="4" w:space="0" w:color="000000"/>
        <w:right w:val="single" w:sz="8"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8" w:customStyle="1">
    <w:name w:val="xl168"/>
    <w:basedOn w:val="Normal"/>
    <w:qFormat/>
    <w:rsid w:val="00161859"/>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9" w:customStyle="1">
    <w:name w:val="xl169"/>
    <w:basedOn w:val="Normal"/>
    <w:qFormat/>
    <w:rsid w:val="00161859"/>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70" w:customStyle="1">
    <w:name w:val="xl17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71" w:customStyle="1">
    <w:name w:val="xl17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NoSpacing">
    <w:name w:val="No Spacing"/>
    <w:link w:val="Style24"/>
    <w:uiPriority w:val="1"/>
    <w:qFormat/>
    <w:rsid w:val="00036a38"/>
    <w:pPr>
      <w:widowControl/>
      <w:bidi w:val="0"/>
      <w:spacing w:before="0" w:after="0"/>
      <w:jc w:val="left"/>
    </w:pPr>
    <w:rPr>
      <w:rFonts w:ascii="Calibri" w:hAnsi="Calibri" w:eastAsia="" w:cs="" w:asciiTheme="minorHAnsi" w:cstheme="minorBidi" w:eastAsiaTheme="minorEastAsia" w:hAnsiTheme="minorHAnsi"/>
      <w:color w:val="auto"/>
      <w:kern w:val="0"/>
      <w:sz w:val="22"/>
      <w:szCs w:val="22"/>
      <w:lang w:eastAsia="en-US" w:val="ru-RU" w:bidi="ar-SA"/>
    </w:rPr>
  </w:style>
  <w:style w:type="paragraph" w:styleId="HeadingBase1" w:customStyle="1">
    <w:name w:val="Heading Base"/>
    <w:basedOn w:val="Normal"/>
    <w:next w:val="Normal"/>
    <w:link w:val="HeadingBase"/>
    <w:qFormat/>
    <w:rsid w:val="00f41119"/>
    <w:pPr>
      <w:keepNext w:val="true"/>
      <w:keepLines/>
      <w:spacing w:lineRule="atLeast" w:line="220" w:before="140" w:after="0"/>
      <w:ind w:hanging="0" w:left="1077"/>
    </w:pPr>
    <w:rPr>
      <w:rFonts w:eastAsia="Times New Roman"/>
      <w:b/>
      <w:spacing w:val="-4"/>
      <w:kern w:val="2"/>
      <w:sz w:val="28"/>
      <w:szCs w:val="28"/>
    </w:rPr>
  </w:style>
  <w:style w:type="paragraph" w:styleId="BodyText2">
    <w:name w:val="Body Text 2"/>
    <w:basedOn w:val="Normal"/>
    <w:link w:val="23"/>
    <w:qFormat/>
    <w:rsid w:val="00836986"/>
    <w:pPr>
      <w:widowControl/>
      <w:spacing w:lineRule="auto" w:line="480" w:before="0" w:after="120"/>
      <w:ind w:hanging="0"/>
      <w:jc w:val="left"/>
      <w:textAlignment w:val="auto"/>
    </w:pPr>
    <w:rPr>
      <w:rFonts w:ascii="Times New Roman" w:hAnsi="Times New Roman" w:eastAsia="Times New Roman"/>
      <w:spacing w:val="0"/>
      <w:sz w:val="24"/>
      <w:szCs w:val="24"/>
      <w:lang w:eastAsia="ru-RU"/>
    </w:rPr>
  </w:style>
  <w:style w:type="paragraph" w:styleId="xl64" w:customStyle="1">
    <w:name w:val="xl64"/>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5" w:customStyle="1">
    <w:name w:val="xl65"/>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6" w:customStyle="1">
    <w:name w:val="xl66"/>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18"/>
      <w:szCs w:val="18"/>
      <w:lang w:eastAsia="ru-RU"/>
    </w:rPr>
  </w:style>
  <w:style w:type="paragraph" w:styleId="xl67" w:customStyle="1">
    <w:name w:val="xl67"/>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i/>
      <w:iCs/>
      <w:spacing w:val="0"/>
      <w:sz w:val="18"/>
      <w:szCs w:val="18"/>
      <w:lang w:eastAsia="ru-RU"/>
    </w:rPr>
  </w:style>
  <w:style w:type="paragraph" w:styleId="xl68" w:customStyle="1">
    <w:name w:val="xl68"/>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9" w:customStyle="1">
    <w:name w:val="xl69"/>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xl70" w:customStyle="1">
    <w:name w:val="xl70"/>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xl71" w:customStyle="1">
    <w:name w:val="xl71"/>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ConsPlusNormal" w:customStyle="1">
    <w:name w:val="ConsPlusNormal"/>
    <w:qFormat/>
    <w:rsid w:val="006034f8"/>
    <w:pPr>
      <w:widowControl w:val="false"/>
      <w:bidi w:val="0"/>
      <w:spacing w:before="0" w:after="0"/>
      <w:ind w:firstLine="720"/>
      <w:jc w:val="left"/>
    </w:pPr>
    <w:rPr>
      <w:rFonts w:ascii="Arial" w:hAnsi="Arial" w:eastAsia="" w:cs="Arial" w:eastAsiaTheme="minorEastAsia"/>
      <w:color w:val="auto"/>
      <w:kern w:val="0"/>
      <w:sz w:val="20"/>
      <w:szCs w:val="20"/>
      <w:lang w:val="ru-RU" w:eastAsia="ru-RU" w:bidi="ar-SA"/>
    </w:rPr>
  </w:style>
  <w:style w:type="paragraph" w:styleId="xl63" w:customStyle="1">
    <w:name w:val="xl63"/>
    <w:basedOn w:val="Normal"/>
    <w:qFormat/>
    <w:rsid w:val="000e27d4"/>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72" w:customStyle="1">
    <w:name w:val="xl72"/>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3" w:customStyle="1">
    <w:name w:val="xl73"/>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4" w:customStyle="1">
    <w:name w:val="xl74"/>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4DFEC"/>
      <w:spacing w:beforeAutospacing="1" w:afterAutospacing="1"/>
      <w:ind w:hanging="0"/>
      <w:jc w:val="right"/>
      <w:textAlignment w:val="center"/>
    </w:pPr>
    <w:rPr>
      <w:rFonts w:ascii="Times New Roman" w:hAnsi="Times New Roman" w:eastAsia="Times New Roman"/>
      <w:b/>
      <w:bCs/>
      <w:spacing w:val="0"/>
      <w:sz w:val="24"/>
      <w:szCs w:val="24"/>
      <w:lang w:eastAsia="ru-RU"/>
    </w:rPr>
  </w:style>
  <w:style w:type="paragraph" w:styleId="xl75" w:customStyle="1">
    <w:name w:val="xl75"/>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6" w:customStyle="1">
    <w:name w:val="xl76"/>
    <w:basedOn w:val="Normal"/>
    <w:qFormat/>
    <w:rsid w:val="000e27d4"/>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77" w:customStyle="1">
    <w:name w:val="xl77"/>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4DFEC"/>
      <w:spacing w:beforeAutospacing="1" w:afterAutospacing="1"/>
      <w:ind w:hanging="0"/>
      <w:jc w:val="left"/>
      <w:textAlignment w:val="center"/>
    </w:pPr>
    <w:rPr>
      <w:rFonts w:ascii="Times New Roman" w:hAnsi="Times New Roman" w:eastAsia="Times New Roman"/>
      <w:b/>
      <w:bCs/>
      <w:spacing w:val="0"/>
      <w:sz w:val="28"/>
      <w:szCs w:val="28"/>
      <w:lang w:eastAsia="ru-RU"/>
    </w:rPr>
  </w:style>
  <w:style w:type="paragraph" w:styleId="xl78" w:customStyle="1">
    <w:name w:val="xl78"/>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BF1DE"/>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79" w:customStyle="1">
    <w:name w:val="xl79"/>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b/>
      <w:bCs/>
      <w:spacing w:val="0"/>
      <w:sz w:val="24"/>
      <w:szCs w:val="24"/>
      <w:lang w:eastAsia="ru-RU"/>
    </w:rPr>
  </w:style>
  <w:style w:type="paragraph" w:styleId="xl80" w:customStyle="1">
    <w:name w:val="xl80"/>
    <w:basedOn w:val="Normal"/>
    <w:qFormat/>
    <w:rsid w:val="00422a0d"/>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81" w:customStyle="1">
    <w:name w:val="xl81"/>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20"/>
      <w:szCs w:val="20"/>
      <w:lang w:eastAsia="ru-RU"/>
    </w:rPr>
  </w:style>
  <w:style w:type="paragraph" w:styleId="xl82" w:customStyle="1">
    <w:name w:val="xl82"/>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83" w:customStyle="1">
    <w:name w:val="xl83"/>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4" w:customStyle="1">
    <w:name w:val="xl84"/>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5" w:customStyle="1">
    <w:name w:val="xl85"/>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86" w:customStyle="1">
    <w:name w:val="xl86"/>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7" w:customStyle="1">
    <w:name w:val="xl87"/>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8" w:customStyle="1">
    <w:name w:val="xl88"/>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9" w:customStyle="1">
    <w:name w:val="xl89"/>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0" w:customStyle="1">
    <w:name w:val="xl90"/>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4"/>
      <w:szCs w:val="24"/>
      <w:lang w:eastAsia="ru-RU"/>
    </w:rPr>
  </w:style>
  <w:style w:type="paragraph" w:styleId="xl91" w:customStyle="1">
    <w:name w:val="xl91"/>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0"/>
      <w:szCs w:val="20"/>
      <w:lang w:eastAsia="ru-RU"/>
    </w:rPr>
  </w:style>
  <w:style w:type="paragraph" w:styleId="xl92" w:customStyle="1">
    <w:name w:val="xl92"/>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4"/>
      <w:szCs w:val="24"/>
      <w:lang w:eastAsia="ru-RU"/>
    </w:rPr>
  </w:style>
  <w:style w:type="paragraph" w:styleId="xl93" w:customStyle="1">
    <w:name w:val="xl93"/>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20"/>
      <w:szCs w:val="20"/>
      <w:lang w:eastAsia="ru-RU"/>
    </w:rPr>
  </w:style>
  <w:style w:type="paragraph" w:styleId="xl94" w:customStyle="1">
    <w:name w:val="xl94"/>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5" w:customStyle="1">
    <w:name w:val="xl95"/>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6" w:customStyle="1">
    <w:name w:val="xl96"/>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7" w:customStyle="1">
    <w:name w:val="xl97"/>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0"/>
      <w:szCs w:val="20"/>
      <w:lang w:eastAsia="ru-RU"/>
    </w:rPr>
  </w:style>
  <w:style w:type="paragraph" w:styleId="xl98" w:customStyle="1">
    <w:name w:val="xl98"/>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99" w:customStyle="1">
    <w:name w:val="xl99"/>
    <w:basedOn w:val="Normal"/>
    <w:qFormat/>
    <w:rsid w:val="00e756f2"/>
    <w:pPr>
      <w:widowControl/>
      <w:pBdr>
        <w:top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0" w:customStyle="1">
    <w:name w:val="xl100"/>
    <w:basedOn w:val="Normal"/>
    <w:qFormat/>
    <w:rsid w:val="00e756f2"/>
    <w:pPr>
      <w:widowControl/>
      <w:pBdr>
        <w:top w:val="single" w:sz="8" w:space="0" w:color="000000"/>
        <w:right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1" w:customStyle="1">
    <w:name w:val="xl101"/>
    <w:basedOn w:val="Normal"/>
    <w:qFormat/>
    <w:rsid w:val="00e756f2"/>
    <w:pPr>
      <w:widowControl/>
      <w:pBdr>
        <w:left w:val="single" w:sz="8" w:space="14" w:color="000000"/>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2" w:customStyle="1">
    <w:name w:val="xl102"/>
    <w:basedOn w:val="Normal"/>
    <w:qFormat/>
    <w:rsid w:val="00e756f2"/>
    <w:pPr>
      <w:widowControl/>
      <w:pBdr>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3" w:customStyle="1">
    <w:name w:val="xl103"/>
    <w:basedOn w:val="Normal"/>
    <w:qFormat/>
    <w:rsid w:val="00e756f2"/>
    <w:pPr>
      <w:widowControl/>
      <w:pBdr>
        <w:top w:val="single" w:sz="8" w:space="0" w:color="000000"/>
        <w:right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4" w:customStyle="1">
    <w:name w:val="xl104"/>
    <w:basedOn w:val="Normal"/>
    <w:qFormat/>
    <w:rsid w:val="00e756f2"/>
    <w:pPr>
      <w:widowControl/>
      <w:pBdr>
        <w:left w:val="single" w:sz="8" w:space="14" w:color="000000"/>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5" w:customStyle="1">
    <w:name w:val="xl105"/>
    <w:basedOn w:val="Normal"/>
    <w:qFormat/>
    <w:rsid w:val="00e756f2"/>
    <w:pPr>
      <w:widowControl/>
      <w:pBdr>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6" w:customStyle="1">
    <w:name w:val="xl106"/>
    <w:basedOn w:val="Normal"/>
    <w:qFormat/>
    <w:rsid w:val="00e756f2"/>
    <w:pPr>
      <w:widowControl/>
      <w:pBdr>
        <w:left w:val="single" w:sz="8" w:space="0" w:color="000000"/>
        <w:right w:val="single" w:sz="8" w:space="0" w:color="000000"/>
      </w:pBdr>
      <w:spacing w:beforeAutospacing="1" w:afterAutospacing="1"/>
      <w:ind w:hanging="0"/>
      <w:jc w:val="center"/>
      <w:textAlignment w:val="auto"/>
    </w:pPr>
    <w:rPr>
      <w:rFonts w:ascii="Calibri" w:hAnsi="Calibri" w:eastAsia="Times New Roman" w:cs="Calibri"/>
      <w:spacing w:val="0"/>
      <w:sz w:val="24"/>
      <w:szCs w:val="24"/>
      <w:lang w:eastAsia="ru-RU"/>
    </w:rPr>
  </w:style>
  <w:style w:type="paragraph" w:styleId="xl107" w:customStyle="1">
    <w:name w:val="xl107"/>
    <w:basedOn w:val="Normal"/>
    <w:qFormat/>
    <w:rsid w:val="00e756f2"/>
    <w:pPr>
      <w:widowControl/>
      <w:pBdr>
        <w:top w:val="single" w:sz="8" w:space="0" w:color="000000"/>
        <w:left w:val="single" w:sz="8" w:space="14"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Revision">
    <w:name w:val="Revision"/>
    <w:uiPriority w:val="99"/>
    <w:qFormat/>
    <w:rsid w:val="00304d48"/>
    <w:pPr>
      <w:widowControl/>
      <w:bidi w:val="0"/>
      <w:spacing w:lineRule="auto" w:line="360" w:before="0" w:after="0"/>
      <w:ind w:firstLine="567"/>
      <w:jc w:val="both"/>
    </w:pPr>
    <w:rPr>
      <w:rFonts w:ascii="Arial" w:hAnsi="Arial" w:eastAsia="Microsoft YaHei" w:cs="Times New Roman"/>
      <w:color w:val="auto"/>
      <w:spacing w:val="-5"/>
      <w:kern w:val="0"/>
      <w:sz w:val="22"/>
      <w:szCs w:val="22"/>
      <w:lang w:eastAsia="en-US" w:val="ru-RU" w:bidi="ar-SA"/>
    </w:rPr>
  </w:style>
  <w:style w:type="paragraph" w:styleId="xl172" w:customStyle="1">
    <w:name w:val="xl172"/>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3" w:customStyle="1">
    <w:name w:val="xl173"/>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8"/>
      <w:szCs w:val="18"/>
      <w:lang w:eastAsia="ru-RU"/>
    </w:rPr>
  </w:style>
  <w:style w:type="paragraph" w:styleId="xl174" w:customStyle="1">
    <w:name w:val="xl174"/>
    <w:basedOn w:val="Normal"/>
    <w:qFormat/>
    <w:rsid w:val="00304d48"/>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75" w:customStyle="1">
    <w:name w:val="xl175"/>
    <w:basedOn w:val="Normal"/>
    <w:qFormat/>
    <w:rsid w:val="00304d48"/>
    <w:pPr>
      <w:widowControl/>
      <w:pBdr>
        <w:top w:val="single" w:sz="4" w:space="0" w:color="000000"/>
        <w:left w:val="single" w:sz="4" w:space="0" w:color="000000"/>
        <w:bottom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76" w:customStyle="1">
    <w:name w:val="xl176"/>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77" w:customStyle="1">
    <w:name w:val="xl177"/>
    <w:basedOn w:val="Normal"/>
    <w:qFormat/>
    <w:rsid w:val="00304d48"/>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8" w:customStyle="1">
    <w:name w:val="xl178"/>
    <w:basedOn w:val="Normal"/>
    <w:qFormat/>
    <w:rsid w:val="00304d48"/>
    <w:pPr>
      <w:widowControl/>
      <w:pBdr>
        <w:top w:val="single" w:sz="4" w:space="0" w:color="000000"/>
        <w:left w:val="single" w:sz="4" w:space="0" w:color="000000"/>
        <w:bottom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9" w:customStyle="1">
    <w:name w:val="xl179"/>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0" w:customStyle="1">
    <w:name w:val="xl180"/>
    <w:basedOn w:val="Normal"/>
    <w:qFormat/>
    <w:rsid w:val="00304d48"/>
    <w:pPr>
      <w:widowControl/>
      <w:pBdr>
        <w:left w:val="single" w:sz="4" w:space="8" w:color="000000"/>
        <w:right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81" w:customStyle="1">
    <w:name w:val="xl181"/>
    <w:basedOn w:val="Normal"/>
    <w:qFormat/>
    <w:rsid w:val="00304d48"/>
    <w:pPr>
      <w:widowControl/>
      <w:pBdr>
        <w:left w:val="single" w:sz="4" w:space="8"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2" w:customStyle="1">
    <w:name w:val="xl182"/>
    <w:basedOn w:val="Normal"/>
    <w:qFormat/>
    <w:rsid w:val="00304d48"/>
    <w:pPr>
      <w:widowControl/>
      <w:spacing w:beforeAutospacing="1" w:afterAutospacing="1"/>
      <w:ind w:hanging="0"/>
      <w:jc w:val="left"/>
      <w:textAlignment w:val="center"/>
    </w:pPr>
    <w:rPr>
      <w:rFonts w:eastAsia="Times New Roman" w:cs="Arial"/>
      <w:b/>
      <w:bCs/>
      <w:spacing w:val="0"/>
      <w:sz w:val="18"/>
      <w:szCs w:val="18"/>
      <w:lang w:eastAsia="ru-RU"/>
    </w:rPr>
  </w:style>
  <w:style w:type="paragraph" w:styleId="xl183" w:customStyle="1">
    <w:name w:val="xl183"/>
    <w:basedOn w:val="Normal"/>
    <w:qFormat/>
    <w:rsid w:val="00304d48"/>
    <w:pPr>
      <w:widowControl/>
      <w:pBdr>
        <w:top w:val="single" w:sz="4" w:space="0" w:color="000000"/>
        <w:lef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4" w:customStyle="1">
    <w:name w:val="xl184"/>
    <w:basedOn w:val="Normal"/>
    <w:qFormat/>
    <w:rsid w:val="00304d48"/>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5" w:customStyle="1">
    <w:name w:val="xl185"/>
    <w:basedOn w:val="Normal"/>
    <w:qFormat/>
    <w:rsid w:val="00304d48"/>
    <w:pPr>
      <w:widowControl/>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6" w:customStyle="1">
    <w:name w:val="xl186"/>
    <w:basedOn w:val="Normal"/>
    <w:qFormat/>
    <w:rsid w:val="00304d48"/>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8"/>
      <w:szCs w:val="18"/>
      <w:lang w:eastAsia="ru-RU"/>
    </w:rPr>
  </w:style>
  <w:style w:type="paragraph" w:styleId="xl187" w:customStyle="1">
    <w:name w:val="xl187"/>
    <w:basedOn w:val="Normal"/>
    <w:qFormat/>
    <w:rsid w:val="00304d48"/>
    <w:pPr>
      <w:widowControl/>
      <w:pBdr>
        <w:top w:val="single" w:sz="4" w:space="0" w:color="000000"/>
        <w:bottom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8" w:customStyle="1">
    <w:name w:val="xl188"/>
    <w:basedOn w:val="Normal"/>
    <w:qFormat/>
    <w:rsid w:val="00304d48"/>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font7" w:customStyle="1">
    <w:name w:val="font7"/>
    <w:basedOn w:val="Normal"/>
    <w:qFormat/>
    <w:rsid w:val="00183baf"/>
    <w:pPr>
      <w:widowControl/>
      <w:spacing w:beforeAutospacing="1" w:afterAutospacing="1"/>
      <w:ind w:hanging="0"/>
      <w:jc w:val="left"/>
      <w:textAlignment w:val="auto"/>
    </w:pPr>
    <w:rPr>
      <w:rFonts w:ascii="Tahoma" w:hAnsi="Tahoma" w:eastAsia="Times New Roman" w:cs="Tahoma"/>
      <w:color w:val="000000"/>
      <w:spacing w:val="0"/>
      <w:sz w:val="16"/>
      <w:szCs w:val="16"/>
      <w:lang w:eastAsia="ru-RU"/>
    </w:rPr>
  </w:style>
  <w:style w:type="paragraph" w:styleId="font8" w:customStyle="1">
    <w:name w:val="font8"/>
    <w:basedOn w:val="Normal"/>
    <w:qFormat/>
    <w:rsid w:val="00183baf"/>
    <w:pPr>
      <w:widowControl/>
      <w:spacing w:beforeAutospacing="1" w:afterAutospacing="1"/>
      <w:ind w:hanging="0"/>
      <w:jc w:val="left"/>
      <w:textAlignment w:val="auto"/>
    </w:pPr>
    <w:rPr>
      <w:rFonts w:ascii="Tahoma" w:hAnsi="Tahoma" w:eastAsia="Times New Roman" w:cs="Tahoma"/>
      <w:b/>
      <w:bCs/>
      <w:color w:val="000000"/>
      <w:spacing w:val="0"/>
      <w:sz w:val="16"/>
      <w:szCs w:val="16"/>
      <w:lang w:eastAsia="ru-RU"/>
    </w:rPr>
  </w:style>
  <w:style w:type="paragraph" w:styleId="xl968" w:customStyle="1">
    <w:name w:val="xl968"/>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69" w:customStyle="1">
    <w:name w:val="xl969"/>
    <w:basedOn w:val="Normal"/>
    <w:qFormat/>
    <w:rsid w:val="00183baf"/>
    <w:pPr>
      <w:widowControl/>
      <w:shd w:val="clear" w:color="FFFFCC" w:fill="FFFFFF"/>
      <w:spacing w:beforeAutospacing="1" w:afterAutospacing="1"/>
      <w:ind w:hanging="0"/>
      <w:jc w:val="left"/>
      <w:textAlignment w:val="auto"/>
    </w:pPr>
    <w:rPr>
      <w:rFonts w:ascii="Helv" w:hAnsi="Helv" w:eastAsia="Times New Roman"/>
      <w:spacing w:val="0"/>
      <w:sz w:val="24"/>
      <w:szCs w:val="24"/>
      <w:lang w:eastAsia="ru-RU"/>
    </w:rPr>
  </w:style>
  <w:style w:type="paragraph" w:styleId="xl970" w:customStyle="1">
    <w:name w:val="xl970"/>
    <w:basedOn w:val="Normal"/>
    <w:qFormat/>
    <w:rsid w:val="00183baf"/>
    <w:pPr>
      <w:widowControl/>
      <w:shd w:val="thinReverseDiagStripe" w:color="666699" w:fill="FFFFFF"/>
      <w:spacing w:beforeAutospacing="1" w:afterAutospacing="1"/>
      <w:ind w:hanging="0"/>
      <w:jc w:val="left"/>
      <w:textAlignment w:val="auto"/>
    </w:pPr>
    <w:rPr>
      <w:rFonts w:ascii="Helv" w:hAnsi="Helv" w:eastAsia="Times New Roman"/>
      <w:spacing w:val="0"/>
      <w:sz w:val="24"/>
      <w:szCs w:val="24"/>
      <w:lang w:eastAsia="ru-RU"/>
    </w:rPr>
  </w:style>
  <w:style w:type="paragraph" w:styleId="xl971" w:customStyle="1">
    <w:name w:val="xl971"/>
    <w:basedOn w:val="Normal"/>
    <w:qFormat/>
    <w:rsid w:val="00183baf"/>
    <w:pPr>
      <w:widowControl/>
      <w:pBdr>
        <w:top w:val="single" w:sz="8" w:space="0" w:color="000000"/>
        <w:left w:val="single" w:sz="8" w:space="0" w:color="000000"/>
        <w:bottom w:val="single" w:sz="8" w:space="0" w:color="000000"/>
        <w:right w:val="single" w:sz="4" w:space="0" w:color="000000"/>
      </w:pBdr>
      <w:shd w:val="clear" w:color="969696" w:fill="CC99FF"/>
      <w:spacing w:beforeAutospacing="1" w:afterAutospacing="1"/>
      <w:ind w:hanging="0"/>
      <w:jc w:val="left"/>
      <w:textAlignment w:val="auto"/>
    </w:pPr>
    <w:rPr>
      <w:rFonts w:ascii="Times New Roman" w:hAnsi="Times New Roman" w:eastAsia="Times New Roman"/>
      <w:b/>
      <w:bCs/>
      <w:spacing w:val="0"/>
      <w:sz w:val="24"/>
      <w:szCs w:val="24"/>
      <w:lang w:eastAsia="ru-RU"/>
    </w:rPr>
  </w:style>
  <w:style w:type="paragraph" w:styleId="xl972" w:customStyle="1">
    <w:name w:val="xl972"/>
    <w:basedOn w:val="Normal"/>
    <w:qFormat/>
    <w:rsid w:val="00183baf"/>
    <w:pPr>
      <w:widowControl/>
      <w:pBdr>
        <w:top w:val="single" w:sz="8" w:space="0" w:color="000000"/>
        <w:left w:val="single" w:sz="4" w:space="0" w:color="000000"/>
        <w:bottom w:val="single" w:sz="8" w:space="0" w:color="000000"/>
        <w:right w:val="single" w:sz="4" w:space="0" w:color="000000"/>
      </w:pBdr>
      <w:shd w:val="clear" w:color="969696" w:fill="CC99FF"/>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973" w:customStyle="1">
    <w:name w:val="xl973"/>
    <w:basedOn w:val="Normal"/>
    <w:qFormat/>
    <w:rsid w:val="00183baf"/>
    <w:pPr>
      <w:widowControl/>
      <w:pBdr>
        <w:top w:val="single" w:sz="8" w:space="0" w:color="000000"/>
        <w:left w:val="single" w:sz="4" w:space="0" w:color="000000"/>
        <w:bottom w:val="single" w:sz="8" w:space="0" w:color="000000"/>
      </w:pBdr>
      <w:shd w:val="clear" w:color="969696" w:fill="CC99FF"/>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974" w:customStyle="1">
    <w:name w:val="xl974"/>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75" w:customStyle="1">
    <w:name w:val="xl975"/>
    <w:basedOn w:val="Normal"/>
    <w:qFormat/>
    <w:rsid w:val="00183baf"/>
    <w:pPr>
      <w:widowControl/>
      <w:pBdr>
        <w:top w:val="single" w:sz="4" w:space="0" w:color="000000"/>
        <w:left w:val="single" w:sz="8"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76" w:customStyle="1">
    <w:name w:val="xl976"/>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977" w:customStyle="1">
    <w:name w:val="xl977"/>
    <w:basedOn w:val="Normal"/>
    <w:qFormat/>
    <w:rsid w:val="00183baf"/>
    <w:pPr>
      <w:widowControl/>
      <w:pBdr>
        <w:top w:val="single" w:sz="4" w:space="0" w:color="000000"/>
        <w:left w:val="single" w:sz="8" w:space="9"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78" w:customStyle="1">
    <w:name w:val="xl978"/>
    <w:basedOn w:val="Normal"/>
    <w:qFormat/>
    <w:rsid w:val="00183baf"/>
    <w:pPr>
      <w:widowControl/>
      <w:pBdr>
        <w:top w:val="single" w:sz="4" w:space="0" w:color="000000"/>
        <w:left w:val="single" w:sz="8" w:space="18"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79" w:customStyle="1">
    <w:name w:val="xl979"/>
    <w:basedOn w:val="Normal"/>
    <w:qFormat/>
    <w:rsid w:val="00183baf"/>
    <w:pPr>
      <w:widowControl/>
      <w:pBdr>
        <w:top w:val="single" w:sz="4" w:space="0" w:color="000000"/>
        <w:left w:val="single" w:sz="8" w:space="9"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80" w:customStyle="1">
    <w:name w:val="xl980"/>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1" w:customStyle="1">
    <w:name w:val="xl981"/>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2" w:customStyle="1">
    <w:name w:val="xl982"/>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3" w:customStyle="1">
    <w:name w:val="xl983"/>
    <w:basedOn w:val="Normal"/>
    <w:qFormat/>
    <w:rsid w:val="00183baf"/>
    <w:pPr>
      <w:widowControl/>
      <w:pBdr>
        <w:top w:val="single" w:sz="4" w:space="0" w:color="000000"/>
        <w:left w:val="single" w:sz="8" w:space="0"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84" w:customStyle="1">
    <w:name w:val="xl984"/>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5" w:customStyle="1">
    <w:name w:val="xl985"/>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6" w:customStyle="1">
    <w:name w:val="xl986"/>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7" w:customStyle="1">
    <w:name w:val="xl987"/>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8" w:customStyle="1">
    <w:name w:val="xl988"/>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9" w:customStyle="1">
    <w:name w:val="xl989"/>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0" w:customStyle="1">
    <w:name w:val="xl990"/>
    <w:basedOn w:val="Normal"/>
    <w:qFormat/>
    <w:rsid w:val="00183baf"/>
    <w:pPr>
      <w:widowControl/>
      <w:pBdr>
        <w:top w:val="single" w:sz="8" w:space="0" w:color="000000"/>
        <w:left w:val="single" w:sz="8" w:space="0" w:color="000000"/>
        <w:right w:val="single" w:sz="4" w:space="0" w:color="000000"/>
      </w:pBdr>
      <w:shd w:val="clear" w:color="808080" w:fill="974706"/>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991" w:customStyle="1">
    <w:name w:val="xl991"/>
    <w:basedOn w:val="Normal"/>
    <w:qFormat/>
    <w:rsid w:val="00183baf"/>
    <w:pPr>
      <w:widowControl/>
      <w:pBdr>
        <w:top w:val="single" w:sz="4" w:space="0" w:color="000000"/>
        <w:left w:val="single" w:sz="4" w:space="0" w:color="000000"/>
        <w:right w:val="single" w:sz="4" w:space="0" w:color="000000"/>
      </w:pBdr>
      <w:shd w:val="clear" w:color="808080" w:fill="974706"/>
      <w:spacing w:beforeAutospacing="1" w:afterAutospacing="1"/>
      <w:ind w:hanging="0"/>
      <w:jc w:val="center"/>
      <w:textAlignment w:val="auto"/>
    </w:pPr>
    <w:rPr>
      <w:rFonts w:eastAsia="Times New Roman" w:cs="Arial"/>
      <w:spacing w:val="0"/>
      <w:sz w:val="24"/>
      <w:szCs w:val="24"/>
      <w:lang w:eastAsia="ru-RU"/>
    </w:rPr>
  </w:style>
  <w:style w:type="paragraph" w:styleId="xl992" w:customStyle="1">
    <w:name w:val="xl992"/>
    <w:basedOn w:val="Normal"/>
    <w:qFormat/>
    <w:rsid w:val="00183baf"/>
    <w:pPr>
      <w:widowControl/>
      <w:pBdr>
        <w:left w:val="single" w:sz="4" w:space="0" w:color="000000"/>
        <w:right w:val="single" w:sz="4" w:space="0" w:color="000000"/>
      </w:pBdr>
      <w:shd w:val="clear" w:color="808080" w:fill="974706"/>
      <w:spacing w:beforeAutospacing="1" w:afterAutospacing="1"/>
      <w:ind w:hanging="0"/>
      <w:jc w:val="center"/>
      <w:textAlignment w:val="auto"/>
    </w:pPr>
    <w:rPr>
      <w:rFonts w:eastAsia="Times New Roman" w:cs="Arial"/>
      <w:b/>
      <w:bCs/>
      <w:color w:val="FFFFFF"/>
      <w:spacing w:val="0"/>
      <w:sz w:val="24"/>
      <w:szCs w:val="24"/>
      <w:lang w:eastAsia="ru-RU"/>
    </w:rPr>
  </w:style>
  <w:style w:type="paragraph" w:styleId="xl993" w:customStyle="1">
    <w:name w:val="xl993"/>
    <w:basedOn w:val="Normal"/>
    <w:qFormat/>
    <w:rsid w:val="00183baf"/>
    <w:pPr>
      <w:widowControl/>
      <w:pBdr>
        <w:top w:val="single" w:sz="8" w:space="0" w:color="000000"/>
        <w:left w:val="single" w:sz="4" w:space="0" w:color="000000"/>
        <w:righ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994" w:customStyle="1">
    <w:name w:val="xl994"/>
    <w:basedOn w:val="Normal"/>
    <w:qFormat/>
    <w:rsid w:val="00183baf"/>
    <w:pPr>
      <w:widowControl/>
      <w:pBdr>
        <w:top w:val="single" w:sz="8" w:space="0" w:color="000000"/>
        <w:lef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995" w:customStyle="1">
    <w:name w:val="xl995"/>
    <w:basedOn w:val="Normal"/>
    <w:qFormat/>
    <w:rsid w:val="00183baf"/>
    <w:pPr>
      <w:widowControl/>
      <w:pBdr>
        <w:top w:val="single" w:sz="4" w:space="0" w:color="000000"/>
        <w:left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6" w:customStyle="1">
    <w:name w:val="xl996"/>
    <w:basedOn w:val="Normal"/>
    <w:qFormat/>
    <w:rsid w:val="00183baf"/>
    <w:pPr>
      <w:widowControl/>
      <w:pBdr>
        <w:top w:val="single" w:sz="4" w:space="0" w:color="000000"/>
        <w:left w:val="single" w:sz="4" w:space="0" w:color="000000"/>
        <w:right w:val="single" w:sz="4" w:space="0" w:color="000000"/>
      </w:pBdr>
      <w:shd w:val="clear" w:color="000000"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7" w:customStyle="1">
    <w:name w:val="xl997"/>
    <w:basedOn w:val="Normal"/>
    <w:qFormat/>
    <w:rsid w:val="00183baf"/>
    <w:pPr>
      <w:widowControl/>
      <w:pBdr>
        <w:top w:val="single" w:sz="4" w:space="0" w:color="000000"/>
        <w:left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98" w:customStyle="1">
    <w:name w:val="xl998"/>
    <w:basedOn w:val="Normal"/>
    <w:qFormat/>
    <w:rsid w:val="00183baf"/>
    <w:pPr>
      <w:widowControl/>
      <w:pBdr>
        <w:top w:val="single" w:sz="4" w:space="0" w:color="000000"/>
        <w:left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99" w:customStyle="1">
    <w:name w:val="xl999"/>
    <w:basedOn w:val="Normal"/>
    <w:qFormat/>
    <w:rsid w:val="00183baf"/>
    <w:pPr>
      <w:widowControl/>
      <w:pBdr>
        <w:left w:val="single" w:sz="8" w:space="0" w:color="000000"/>
        <w:right w:val="single" w:sz="4" w:space="0" w:color="000000"/>
      </w:pBdr>
      <w:shd w:val="clear" w:color="808080" w:fill="974706"/>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1000" w:customStyle="1">
    <w:name w:val="xl1000"/>
    <w:basedOn w:val="Normal"/>
    <w:qFormat/>
    <w:rsid w:val="00183baf"/>
    <w:pPr>
      <w:widowControl/>
      <w:pBdr>
        <w:left w:val="single" w:sz="4" w:space="0" w:color="000000"/>
        <w:righ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1001" w:customStyle="1">
    <w:name w:val="xl1001"/>
    <w:basedOn w:val="Normal"/>
    <w:qFormat/>
    <w:rsid w:val="00183baf"/>
    <w:pPr>
      <w:widowControl/>
      <w:pBdr>
        <w:lef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1002" w:customStyle="1">
    <w:name w:val="xl1002"/>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03" w:customStyle="1">
    <w:name w:val="xl1003"/>
    <w:basedOn w:val="Normal"/>
    <w:qFormat/>
    <w:rsid w:val="00183baf"/>
    <w:pPr>
      <w:widowControl/>
      <w:pBdr>
        <w:top w:val="single" w:sz="4" w:space="0" w:color="000000"/>
        <w:left w:val="single" w:sz="4" w:space="0" w:color="000000"/>
        <w:bottom w:val="single" w:sz="4" w:space="0" w:color="000000"/>
        <w:right w:val="single" w:sz="4" w:space="0" w:color="000000"/>
      </w:pBdr>
      <w:shd w:val="clear" w:color="808080" w:fill="D8E4B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004" w:customStyle="1">
    <w:name w:val="xl1004"/>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5" w:customStyle="1">
    <w:name w:val="xl1005"/>
    <w:basedOn w:val="Normal"/>
    <w:qFormat/>
    <w:rsid w:val="00183baf"/>
    <w:pPr>
      <w:widowControl/>
      <w:pBdr>
        <w:top w:val="single" w:sz="4" w:space="0" w:color="000000"/>
        <w:left w:val="single" w:sz="4" w:space="9"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6" w:customStyle="1">
    <w:name w:val="xl1006"/>
    <w:basedOn w:val="Normal"/>
    <w:qFormat/>
    <w:rsid w:val="00183baf"/>
    <w:pPr>
      <w:widowControl/>
      <w:pBdr>
        <w:top w:val="single" w:sz="4" w:space="0" w:color="000000"/>
        <w:left w:val="single" w:sz="4" w:space="9"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07" w:customStyle="1">
    <w:name w:val="xl1007"/>
    <w:basedOn w:val="Normal"/>
    <w:qFormat/>
    <w:rsid w:val="00183baf"/>
    <w:pPr>
      <w:widowControl/>
      <w:pBdr>
        <w:top w:val="single" w:sz="4" w:space="0" w:color="000000"/>
        <w:left w:val="single" w:sz="4" w:space="0" w:color="000000"/>
        <w:right w:val="single" w:sz="4" w:space="0" w:color="000000"/>
      </w:pBdr>
      <w:shd w:val="clear" w:color="FFCC99" w:fill="D8E4BC"/>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1008" w:customStyle="1">
    <w:name w:val="xl1008"/>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9" w:customStyle="1">
    <w:name w:val="xl1009"/>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10" w:customStyle="1">
    <w:name w:val="xl1010"/>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1011" w:customStyle="1">
    <w:name w:val="xl1011"/>
    <w:basedOn w:val="Normal"/>
    <w:qFormat/>
    <w:rsid w:val="00183baf"/>
    <w:pPr>
      <w:widowControl/>
      <w:pBdr>
        <w:top w:val="single" w:sz="4" w:space="0" w:color="000000"/>
        <w:left w:val="single" w:sz="8" w:space="27"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12" w:customStyle="1">
    <w:name w:val="xl1012"/>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13" w:customStyle="1">
    <w:name w:val="xl1013"/>
    <w:basedOn w:val="Normal"/>
    <w:qFormat/>
    <w:rsid w:val="00183baf"/>
    <w:pPr>
      <w:widowControl/>
      <w:pBdr>
        <w:top w:val="single" w:sz="4" w:space="0" w:color="000000"/>
        <w:left w:val="single" w:sz="4" w:space="0" w:color="000000"/>
        <w:right w:val="single" w:sz="4" w:space="0" w:color="000000"/>
      </w:pBdr>
      <w:shd w:val="clear" w:color="000000" w:fill="FABF8F"/>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66" w:customStyle="1">
    <w:name w:val="xl966"/>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67" w:customStyle="1">
    <w:name w:val="xl967"/>
    <w:basedOn w:val="Normal"/>
    <w:qFormat/>
    <w:rsid w:val="00183baf"/>
    <w:pPr>
      <w:widowControl/>
      <w:shd w:val="clear" w:color="FFFFCC" w:fill="FFFFFF"/>
      <w:spacing w:beforeAutospacing="1" w:afterAutospacing="1"/>
      <w:ind w:hanging="0"/>
      <w:jc w:val="left"/>
      <w:textAlignment w:val="auto"/>
    </w:pPr>
    <w:rPr>
      <w:rFonts w:ascii="Helv" w:hAnsi="Helv" w:eastAsia="Times New Roman"/>
      <w:spacing w:val="0"/>
      <w:sz w:val="24"/>
      <w:szCs w:val="24"/>
      <w:lang w:eastAsia="ru-RU"/>
    </w:rPr>
  </w:style>
  <w:style w:type="paragraph" w:styleId="Style38" w:customStyle="1">
    <w:name w:val="Стиль алаеваМаркированный список + По ширине Междустр.интервал:  по..."/>
    <w:basedOn w:val="Normal"/>
    <w:link w:val="Style25"/>
    <w:autoRedefine/>
    <w:qFormat/>
    <w:rsid w:val="003043a3"/>
    <w:pPr>
      <w:widowControl/>
      <w:tabs>
        <w:tab w:val="clear" w:pos="709"/>
        <w:tab w:val="left" w:pos="1418" w:leader="none"/>
      </w:tabs>
      <w:spacing w:lineRule="auto" w:line="360"/>
      <w:ind w:hanging="567" w:left="1418"/>
      <w:textAlignment w:val="auto"/>
    </w:pPr>
    <w:rPr>
      <w:rFonts w:eastAsia="Times New Roman"/>
      <w:spacing w:val="0"/>
      <w:szCs w:val="24"/>
      <w:lang w:eastAsia="ru-RU"/>
    </w:rPr>
  </w:style>
  <w:style w:type="paragraph" w:styleId="1ArialBlack66" w:customStyle="1">
    <w:name w:val="Стиль Заголовок 1 + Arial Black По ширине Перед:  6 пт После:  6..."/>
    <w:basedOn w:val="Heading1"/>
    <w:autoRedefine/>
    <w:qFormat/>
    <w:rsid w:val="003043a3"/>
    <w:pPr>
      <w:keepLines w:val="false"/>
      <w:pageBreakBefore w:val="false"/>
      <w:numPr>
        <w:ilvl w:val="0"/>
        <w:numId w:val="1"/>
      </w:numPr>
      <w:pBdr>
        <w:top w:val="nil"/>
        <w:left w:val="nil"/>
        <w:bottom w:val="nil"/>
      </w:pBdr>
      <w:tabs>
        <w:tab w:val="clear" w:pos="709"/>
        <w:tab w:val="left" w:pos="840" w:leader="none"/>
      </w:tabs>
      <w:spacing w:lineRule="auto" w:line="240" w:before="240" w:after="240"/>
      <w:ind w:hanging="600" w:left="1440"/>
      <w:textAlignment w:val="auto"/>
    </w:pPr>
    <w:rPr>
      <w:rFonts w:eastAsia="Times New Roman"/>
      <w:caps w:val="false"/>
      <w:smallCaps w:val="false"/>
      <w:spacing w:val="0"/>
      <w:kern w:val="0"/>
      <w:sz w:val="24"/>
      <w:szCs w:val="20"/>
      <w:lang w:eastAsia="ru-RU"/>
    </w:rPr>
  </w:style>
  <w:style w:type="paragraph" w:styleId="2ArialBlack12" w:customStyle="1">
    <w:name w:val="Стиль Заголовок 2 + Arial Black 12 пт не полужирный По левому кр..."/>
    <w:basedOn w:val="Heading2"/>
    <w:autoRedefine/>
    <w:qFormat/>
    <w:rsid w:val="003043a3"/>
    <w:pPr>
      <w:keepNext w:val="true"/>
      <w:widowControl/>
      <w:numPr>
        <w:ilvl w:val="0"/>
        <w:numId w:val="0"/>
      </w:numPr>
      <w:tabs>
        <w:tab w:val="clear" w:pos="709"/>
        <w:tab w:val="left" w:pos="1429" w:leader="none"/>
      </w:tabs>
      <w:suppressAutoHyphens w:val="false"/>
      <w:spacing w:before="240" w:after="240"/>
      <w:ind w:hanging="578" w:left="1429"/>
      <w:jc w:val="left"/>
      <w:textAlignment w:val="auto"/>
    </w:pPr>
    <w:rPr>
      <w:rFonts w:eastAsia="Times New Roman"/>
      <w:spacing w:val="0"/>
      <w:kern w:val="0"/>
      <w:szCs w:val="20"/>
      <w:lang w:eastAsia="ru-RU"/>
    </w:rPr>
  </w:style>
  <w:style w:type="paragraph" w:styleId="xl1708" w:customStyle="1">
    <w:name w:val="xl1708"/>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09" w:customStyle="1">
    <w:name w:val="xl1709"/>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0" w:customStyle="1">
    <w:name w:val="xl1710"/>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spacing w:val="0"/>
      <w:sz w:val="20"/>
      <w:szCs w:val="20"/>
      <w:lang w:eastAsia="ru-RU"/>
    </w:rPr>
  </w:style>
  <w:style w:type="paragraph" w:styleId="xl1711" w:customStyle="1">
    <w:name w:val="xl1711"/>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2" w:customStyle="1">
    <w:name w:val="xl1712"/>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3" w:customStyle="1">
    <w:name w:val="xl1713"/>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b/>
      <w:bCs/>
      <w:i/>
      <w:iCs/>
      <w:spacing w:val="0"/>
      <w:sz w:val="20"/>
      <w:szCs w:val="20"/>
      <w:lang w:eastAsia="ru-RU"/>
    </w:rPr>
  </w:style>
  <w:style w:type="paragraph" w:styleId="xl1714" w:customStyle="1">
    <w:name w:val="xl1714"/>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5" w:customStyle="1">
    <w:name w:val="xl1715"/>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u w:val="single"/>
      <w:lang w:eastAsia="ru-RU"/>
    </w:rPr>
  </w:style>
  <w:style w:type="paragraph" w:styleId="xl1716" w:customStyle="1">
    <w:name w:val="xl1716"/>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7" w:customStyle="1">
    <w:name w:val="xl1717"/>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8" w:customStyle="1">
    <w:name w:val="xl1718"/>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9" w:customStyle="1">
    <w:name w:val="xl1719"/>
    <w:basedOn w:val="Normal"/>
    <w:qFormat/>
    <w:rsid w:val="00442473"/>
    <w:pPr>
      <w:widowControl/>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6986" w:customStyle="1">
    <w:name w:val="xl6986"/>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87" w:customStyle="1">
    <w:name w:val="xl6987"/>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88" w:customStyle="1">
    <w:name w:val="xl6988"/>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89" w:customStyle="1">
    <w:name w:val="xl6989"/>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0" w:customStyle="1">
    <w:name w:val="xl6990"/>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1" w:customStyle="1">
    <w:name w:val="xl6991"/>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2" w:customStyle="1">
    <w:name w:val="xl6992"/>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3" w:customStyle="1">
    <w:name w:val="xl6993"/>
    <w:basedOn w:val="Normal"/>
    <w:qFormat/>
    <w:rsid w:val="00360352"/>
    <w:pPr>
      <w:widowControl/>
      <w:spacing w:beforeAutospacing="1" w:afterAutospacing="1"/>
      <w:ind w:hanging="0"/>
      <w:jc w:val="left"/>
      <w:textAlignment w:val="auto"/>
    </w:pPr>
    <w:rPr>
      <w:rFonts w:eastAsia="Times New Roman" w:cs="Arial"/>
      <w:b/>
      <w:bCs/>
      <w:spacing w:val="0"/>
      <w:sz w:val="24"/>
      <w:szCs w:val="24"/>
      <w:lang w:eastAsia="ru-RU"/>
    </w:rPr>
  </w:style>
  <w:style w:type="paragraph" w:styleId="xl6994" w:customStyle="1">
    <w:name w:val="xl6994"/>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spacing w:val="0"/>
      <w:sz w:val="24"/>
      <w:szCs w:val="24"/>
      <w:lang w:eastAsia="ru-RU"/>
    </w:rPr>
  </w:style>
  <w:style w:type="paragraph" w:styleId="xl6995" w:customStyle="1">
    <w:name w:val="xl6995"/>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6" w:customStyle="1">
    <w:name w:val="xl6996"/>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7" w:customStyle="1">
    <w:name w:val="xl6997"/>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8" w:customStyle="1">
    <w:name w:val="xl6998"/>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9" w:customStyle="1">
    <w:name w:val="xl6999"/>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7000" w:customStyle="1">
    <w:name w:val="xl7000"/>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114" w:customStyle="1">
    <w:name w:val="Стиль Для таблицы (приложения 1) + По правому краю"/>
    <w:basedOn w:val="112"/>
    <w:qFormat/>
    <w:rsid w:val="00651b11"/>
    <w:pPr>
      <w:ind w:hanging="33" w:left="33"/>
    </w:pPr>
    <w:rPr>
      <w:bCs w:val="false"/>
      <w:color w:themeColor="text1" w:themeShade="bf" w:val="000000"/>
      <w:sz w:val="16"/>
      <w:szCs w:val="20"/>
      <w:lang w:eastAsia="ru-RU"/>
    </w:rPr>
  </w:style>
  <w:style w:type="paragraph" w:styleId="xl1703" w:customStyle="1">
    <w:name w:val="xl1703"/>
    <w:basedOn w:val="Normal"/>
    <w:qFormat/>
    <w:rsid w:val="00651b11"/>
    <w:pPr>
      <w:widowControl/>
      <w:pBdr>
        <w:top w:val="single" w:sz="4" w:space="0" w:color="000000"/>
        <w:left w:val="single" w:sz="4" w:space="0" w:color="000000"/>
        <w:bottom w:val="single" w:sz="4" w:space="0" w:color="000000"/>
      </w:pBdr>
      <w:shd w:val="clear" w:color="FFCC99" w:fill="CCFFC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704" w:customStyle="1">
    <w:name w:val="xl1704"/>
    <w:basedOn w:val="Normal"/>
    <w:qFormat/>
    <w:rsid w:val="00651b11"/>
    <w:pPr>
      <w:widowControl/>
      <w:pBdr>
        <w:top w:val="single" w:sz="4" w:space="0" w:color="000000"/>
        <w:left w:val="single" w:sz="4" w:space="0" w:color="000000"/>
        <w:bottom w:val="single" w:sz="4" w:space="0" w:color="000000"/>
      </w:pBdr>
      <w:shd w:val="clear" w:color="FFCC99" w:fill="CCFFCC"/>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1705" w:customStyle="1">
    <w:name w:val="xl1705"/>
    <w:basedOn w:val="Normal"/>
    <w:qFormat/>
    <w:rsid w:val="00651b11"/>
    <w:pPr>
      <w:widowControl/>
      <w:pBdr>
        <w:top w:val="single" w:sz="4" w:space="0" w:color="000000"/>
        <w:left w:val="single" w:sz="8" w:space="0" w:color="000000"/>
        <w:bottom w:val="single" w:sz="4" w:space="0" w:color="000000"/>
        <w:right w:val="single" w:sz="4" w:space="0" w:color="000000"/>
      </w:pBdr>
      <w:shd w:val="clear" w:color="000000" w:fill="CCFFCC"/>
      <w:spacing w:beforeAutospacing="1" w:afterAutospacing="1"/>
      <w:ind w:hanging="0"/>
      <w:jc w:val="left"/>
      <w:textAlignment w:val="center"/>
    </w:pPr>
    <w:rPr>
      <w:rFonts w:ascii="Times New Roman" w:hAnsi="Times New Roman" w:eastAsia="Times New Roman"/>
      <w:b/>
      <w:bCs/>
      <w:spacing w:val="0"/>
      <w:sz w:val="24"/>
      <w:szCs w:val="24"/>
      <w:lang w:eastAsia="ru-RU"/>
    </w:rPr>
  </w:style>
  <w:style w:type="paragraph" w:styleId="xl1706" w:customStyle="1">
    <w:name w:val="xl1706"/>
    <w:basedOn w:val="Normal"/>
    <w:qFormat/>
    <w:rsid w:val="00651b11"/>
    <w:pPr>
      <w:widowControl/>
      <w:pBdr>
        <w:top w:val="single" w:sz="4" w:space="0" w:color="000000"/>
        <w:left w:val="single" w:sz="8" w:space="0" w:color="000000"/>
        <w:bottom w:val="single" w:sz="4" w:space="0" w:color="000000"/>
        <w:right w:val="single" w:sz="4" w:space="0" w:color="000000"/>
      </w:pBdr>
      <w:shd w:val="clear" w:color="FFCC99" w:fill="CCFFC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707" w:customStyle="1">
    <w:name w:val="xl1707"/>
    <w:basedOn w:val="Normal"/>
    <w:qFormat/>
    <w:rsid w:val="00651b11"/>
    <w:pPr>
      <w:widowControl/>
      <w:pBdr>
        <w:top w:val="single" w:sz="4" w:space="0" w:color="000000"/>
        <w:left w:val="single" w:sz="8" w:space="0" w:color="000000"/>
        <w:bottom w:val="single" w:sz="4" w:space="0" w:color="000000"/>
        <w:right w:val="single" w:sz="4" w:space="0" w:color="000000"/>
      </w:pBdr>
      <w:shd w:val="clear" w:color="FFCC99" w:fill="CCFFCC"/>
      <w:spacing w:beforeAutospacing="1" w:afterAutospacing="1"/>
      <w:ind w:hanging="0"/>
      <w:jc w:val="left"/>
      <w:textAlignment w:val="auto"/>
    </w:pPr>
    <w:rPr>
      <w:rFonts w:ascii="Times New Roman" w:hAnsi="Times New Roman" w:eastAsia="Times New Roman"/>
      <w:b/>
      <w:bCs/>
      <w:spacing w:val="0"/>
      <w:sz w:val="24"/>
      <w:szCs w:val="24"/>
      <w:lang w:eastAsia="ru-RU"/>
    </w:rPr>
  </w:style>
  <w:style w:type="paragraph" w:styleId="xl1853" w:customStyle="1">
    <w:name w:val="xl1853"/>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0000"/>
      <w:spacing w:beforeAutospacing="1" w:afterAutospacing="1"/>
      <w:ind w:hanging="0"/>
      <w:jc w:val="left"/>
      <w:textAlignment w:val="center"/>
    </w:pPr>
    <w:rPr>
      <w:rFonts w:ascii="Times New Roman" w:hAnsi="Times New Roman" w:eastAsia="Times New Roman"/>
      <w:b/>
      <w:bCs/>
      <w:i/>
      <w:iCs/>
      <w:spacing w:val="0"/>
      <w:sz w:val="24"/>
      <w:szCs w:val="24"/>
      <w:lang w:eastAsia="ru-RU"/>
    </w:rPr>
  </w:style>
  <w:style w:type="paragraph" w:styleId="xl1854" w:customStyle="1">
    <w:name w:val="xl1854"/>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5" w:customStyle="1">
    <w:name w:val="xl1855"/>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FF00"/>
      <w:spacing w:beforeAutospacing="1" w:afterAutospacing="1"/>
      <w:ind w:hanging="0"/>
      <w:jc w:val="left"/>
      <w:textAlignment w:val="center"/>
    </w:pPr>
    <w:rPr>
      <w:rFonts w:ascii="Times New Roman" w:hAnsi="Times New Roman" w:eastAsia="Times New Roman"/>
      <w:b/>
      <w:bCs/>
      <w:spacing w:val="0"/>
      <w:sz w:val="20"/>
      <w:szCs w:val="20"/>
      <w:lang w:eastAsia="ru-RU"/>
    </w:rPr>
  </w:style>
  <w:style w:type="paragraph" w:styleId="xl1856" w:customStyle="1">
    <w:name w:val="xl1856"/>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4BACC6"/>
      <w:spacing w:beforeAutospacing="1" w:afterAutospacing="1"/>
      <w:ind w:hanging="0"/>
      <w:jc w:val="center"/>
      <w:textAlignment w:val="center"/>
    </w:pPr>
    <w:rPr>
      <w:rFonts w:ascii="Times New Roman" w:hAnsi="Times New Roman" w:eastAsia="Times New Roman"/>
      <w:b/>
      <w:bCs/>
      <w:spacing w:val="0"/>
      <w:sz w:val="24"/>
      <w:szCs w:val="24"/>
      <w:lang w:eastAsia="ru-RU"/>
    </w:rPr>
  </w:style>
  <w:style w:type="paragraph" w:styleId="xl1857" w:customStyle="1">
    <w:name w:val="xl1857"/>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8" w:customStyle="1">
    <w:name w:val="xl1858"/>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9" w:customStyle="1">
    <w:name w:val="xl1859"/>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FF00"/>
      <w:spacing w:beforeAutospacing="1" w:afterAutospacing="1"/>
      <w:ind w:hanging="0"/>
      <w:jc w:val="left"/>
      <w:textAlignment w:val="center"/>
    </w:pPr>
    <w:rPr>
      <w:rFonts w:ascii="Times New Roman" w:hAnsi="Times New Roman" w:eastAsia="Times New Roman"/>
      <w:b/>
      <w:bCs/>
      <w:spacing w:val="0"/>
      <w:sz w:val="20"/>
      <w:szCs w:val="20"/>
      <w:lang w:eastAsia="ru-RU"/>
    </w:rPr>
  </w:style>
  <w:style w:type="paragraph" w:styleId="xl1860" w:customStyle="1">
    <w:name w:val="xl1860"/>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1" w:customStyle="1">
    <w:name w:val="xl1861"/>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862" w:customStyle="1">
    <w:name w:val="xl1862"/>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4BACC6"/>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3" w:customStyle="1">
    <w:name w:val="xl1863"/>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4BACC6"/>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4" w:customStyle="1">
    <w:name w:val="xl1864"/>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5" w:customStyle="1">
    <w:name w:val="xl1865"/>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6" w:customStyle="1">
    <w:name w:val="xl1866"/>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7" w:customStyle="1">
    <w:name w:val="xl1867"/>
    <w:basedOn w:val="Normal"/>
    <w:qFormat/>
    <w:rsid w:val="00651b11"/>
    <w:pPr>
      <w:widowControl/>
      <w:pBdr>
        <w:top w:val="single" w:sz="4" w:space="0" w:color="000000"/>
        <w:left w:val="single" w:sz="4" w:space="7"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8" w:customStyle="1">
    <w:name w:val="xl1868"/>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9" w:customStyle="1">
    <w:name w:val="xl1869"/>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70" w:customStyle="1">
    <w:name w:val="xl1870"/>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720" w:customStyle="1">
    <w:name w:val="xl1720"/>
    <w:basedOn w:val="Normal"/>
    <w:qFormat/>
    <w:rsid w:val="00651b11"/>
    <w:pPr>
      <w:widowControl/>
      <w:shd w:val="clear" w:color="000000" w:fill="FDE9D9"/>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21" w:customStyle="1">
    <w:name w:val="xl1721"/>
    <w:basedOn w:val="Normal"/>
    <w:qFormat/>
    <w:rsid w:val="00651b11"/>
    <w:pPr>
      <w:widowControl/>
      <w:shd w:val="clear" w:color="FFFF00" w:fill="BFBFBF"/>
      <w:spacing w:beforeAutospacing="1" w:afterAutospacing="1"/>
      <w:ind w:hanging="0"/>
      <w:jc w:val="left"/>
      <w:textAlignment w:val="auto"/>
    </w:pPr>
    <w:rPr>
      <w:rFonts w:eastAsia="Times New Roman" w:cs="Arial"/>
      <w:b/>
      <w:bCs/>
      <w:spacing w:val="0"/>
      <w:sz w:val="16"/>
      <w:szCs w:val="16"/>
      <w:lang w:eastAsia="ru-RU"/>
    </w:rPr>
  </w:style>
  <w:style w:type="paragraph" w:styleId="xl1722" w:customStyle="1">
    <w:name w:val="xl1722"/>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3" w:customStyle="1">
    <w:name w:val="xl1723"/>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4" w:customStyle="1">
    <w:name w:val="xl1724"/>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5" w:customStyle="1">
    <w:name w:val="xl1725"/>
    <w:basedOn w:val="Normal"/>
    <w:qFormat/>
    <w:rsid w:val="00651b11"/>
    <w:pPr>
      <w:widowControl/>
      <w:shd w:val="clear" w:color="FFFF00" w:fill="FDE9D9"/>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26" w:customStyle="1">
    <w:name w:val="xl1726"/>
    <w:basedOn w:val="Normal"/>
    <w:qFormat/>
    <w:rsid w:val="00651b11"/>
    <w:pPr>
      <w:widowControl/>
      <w:shd w:val="clear" w:color="FFFF00" w:fill="FDE9D9"/>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27" w:customStyle="1">
    <w:name w:val="xl1727"/>
    <w:basedOn w:val="Normal"/>
    <w:qFormat/>
    <w:rsid w:val="00651b11"/>
    <w:pPr>
      <w:widowControl/>
      <w:shd w:val="clear" w:color="FFFFCC" w:fill="FDE9D9"/>
      <w:spacing w:beforeAutospacing="1" w:afterAutospacing="1"/>
      <w:ind w:hanging="0"/>
      <w:jc w:val="left"/>
      <w:textAlignment w:val="auto"/>
    </w:pPr>
    <w:rPr>
      <w:rFonts w:eastAsia="Times New Roman" w:cs="Arial"/>
      <w:spacing w:val="0"/>
      <w:sz w:val="16"/>
      <w:szCs w:val="16"/>
      <w:lang w:eastAsia="ru-RU"/>
    </w:rPr>
  </w:style>
  <w:style w:type="paragraph" w:styleId="xl1728" w:customStyle="1">
    <w:name w:val="xl1728"/>
    <w:basedOn w:val="Normal"/>
    <w:qFormat/>
    <w:rsid w:val="00651b11"/>
    <w:pPr>
      <w:widowControl/>
      <w:shd w:val="clear" w:color="000000" w:fill="FDE9D9"/>
      <w:spacing w:beforeAutospacing="1" w:afterAutospacing="1"/>
      <w:ind w:hanging="0"/>
      <w:jc w:val="center"/>
      <w:textAlignment w:val="auto"/>
    </w:pPr>
    <w:rPr>
      <w:rFonts w:eastAsia="Times New Roman" w:cs="Arial"/>
      <w:spacing w:val="0"/>
      <w:sz w:val="16"/>
      <w:szCs w:val="16"/>
      <w:lang w:eastAsia="ru-RU"/>
    </w:rPr>
  </w:style>
  <w:style w:type="paragraph" w:styleId="xl1729" w:customStyle="1">
    <w:name w:val="xl1729"/>
    <w:basedOn w:val="Normal"/>
    <w:qFormat/>
    <w:rsid w:val="00651b11"/>
    <w:pPr>
      <w:widowControl/>
      <w:shd w:val="clear" w:color="000000" w:fill="FABF8F"/>
      <w:spacing w:beforeAutospacing="1" w:afterAutospacing="1"/>
      <w:ind w:hanging="0"/>
      <w:jc w:val="right"/>
      <w:textAlignment w:val="center"/>
    </w:pPr>
    <w:rPr>
      <w:rFonts w:eastAsia="Times New Roman" w:cs="Arial"/>
      <w:spacing w:val="0"/>
      <w:sz w:val="16"/>
      <w:szCs w:val="16"/>
      <w:lang w:eastAsia="ru-RU"/>
    </w:rPr>
  </w:style>
  <w:style w:type="paragraph" w:styleId="xl1730" w:customStyle="1">
    <w:name w:val="xl1730"/>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1" w:customStyle="1">
    <w:name w:val="xl1731"/>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2" w:customStyle="1">
    <w:name w:val="xl1732"/>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3" w:customStyle="1">
    <w:name w:val="xl1733"/>
    <w:basedOn w:val="Normal"/>
    <w:qFormat/>
    <w:rsid w:val="00651b11"/>
    <w:pPr>
      <w:widowControl/>
      <w:shd w:val="clear" w:color="000000" w:fill="974706"/>
      <w:spacing w:beforeAutospacing="1" w:afterAutospacing="1"/>
      <w:ind w:hanging="0"/>
      <w:jc w:val="left"/>
      <w:textAlignment w:val="auto"/>
    </w:pPr>
    <w:rPr>
      <w:rFonts w:eastAsia="Times New Roman" w:cs="Arial"/>
      <w:b/>
      <w:bCs/>
      <w:color w:val="FFFFFF"/>
      <w:spacing w:val="0"/>
      <w:sz w:val="16"/>
      <w:szCs w:val="16"/>
      <w:lang w:eastAsia="ru-RU"/>
    </w:rPr>
  </w:style>
  <w:style w:type="paragraph" w:styleId="xl1734" w:customStyle="1">
    <w:name w:val="xl1734"/>
    <w:basedOn w:val="Normal"/>
    <w:qFormat/>
    <w:rsid w:val="00651b11"/>
    <w:pPr>
      <w:widowControl/>
      <w:shd w:val="clear" w:color="000000" w:fill="974706"/>
      <w:spacing w:beforeAutospacing="1" w:afterAutospacing="1"/>
      <w:ind w:hanging="0"/>
      <w:jc w:val="center"/>
      <w:textAlignment w:val="auto"/>
    </w:pPr>
    <w:rPr>
      <w:rFonts w:eastAsia="Times New Roman" w:cs="Arial"/>
      <w:spacing w:val="0"/>
      <w:sz w:val="16"/>
      <w:szCs w:val="16"/>
      <w:lang w:eastAsia="ru-RU"/>
    </w:rPr>
  </w:style>
  <w:style w:type="paragraph" w:styleId="xl1735" w:customStyle="1">
    <w:name w:val="xl1735"/>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36" w:customStyle="1">
    <w:name w:val="xl1736"/>
    <w:basedOn w:val="Normal"/>
    <w:qFormat/>
    <w:rsid w:val="00651b11"/>
    <w:pPr>
      <w:widowControl/>
      <w:shd w:val="clear" w:color="FFFF00" w:fill="BFBFBF"/>
      <w:spacing w:beforeAutospacing="1" w:afterAutospacing="1"/>
      <w:ind w:hanging="0"/>
      <w:jc w:val="right"/>
      <w:textAlignment w:val="auto"/>
    </w:pPr>
    <w:rPr>
      <w:rFonts w:eastAsia="Times New Roman" w:cs="Arial"/>
      <w:b/>
      <w:bCs/>
      <w:spacing w:val="0"/>
      <w:sz w:val="16"/>
      <w:szCs w:val="16"/>
      <w:lang w:eastAsia="ru-RU"/>
    </w:rPr>
  </w:style>
  <w:style w:type="paragraph" w:styleId="xl1737" w:customStyle="1">
    <w:name w:val="xl1737"/>
    <w:basedOn w:val="Normal"/>
    <w:qFormat/>
    <w:rsid w:val="00651b11"/>
    <w:pPr>
      <w:widowControl/>
      <w:shd w:val="clear" w:color="000000" w:fill="C5D9F1"/>
      <w:spacing w:beforeAutospacing="1" w:afterAutospacing="1"/>
      <w:ind w:hanging="0"/>
      <w:jc w:val="right"/>
      <w:textAlignment w:val="auto"/>
    </w:pPr>
    <w:rPr>
      <w:rFonts w:eastAsia="Times New Roman" w:cs="Arial"/>
      <w:spacing w:val="0"/>
      <w:sz w:val="16"/>
      <w:szCs w:val="16"/>
      <w:lang w:eastAsia="ru-RU"/>
    </w:rPr>
  </w:style>
  <w:style w:type="paragraph" w:styleId="xl1738" w:customStyle="1">
    <w:name w:val="xl1738"/>
    <w:basedOn w:val="Normal"/>
    <w:qFormat/>
    <w:rsid w:val="00651b11"/>
    <w:pPr>
      <w:widowControl/>
      <w:shd w:val="clear" w:color="000000" w:fill="FFC000"/>
      <w:spacing w:beforeAutospacing="1" w:afterAutospacing="1"/>
      <w:ind w:hanging="0"/>
      <w:jc w:val="right"/>
      <w:textAlignment w:val="auto"/>
    </w:pPr>
    <w:rPr>
      <w:rFonts w:eastAsia="Times New Roman" w:cs="Arial"/>
      <w:spacing w:val="0"/>
      <w:sz w:val="16"/>
      <w:szCs w:val="16"/>
      <w:lang w:eastAsia="ru-RU"/>
    </w:rPr>
  </w:style>
  <w:style w:type="paragraph" w:styleId="xl1739" w:customStyle="1">
    <w:name w:val="xl1739"/>
    <w:basedOn w:val="Normal"/>
    <w:qFormat/>
    <w:rsid w:val="00651b11"/>
    <w:pPr>
      <w:widowControl/>
      <w:shd w:val="clear" w:color="000000" w:fill="C5D9F1"/>
      <w:spacing w:beforeAutospacing="1" w:afterAutospacing="1"/>
      <w:ind w:hanging="0"/>
      <w:jc w:val="left"/>
      <w:textAlignment w:val="auto"/>
    </w:pPr>
    <w:rPr>
      <w:rFonts w:eastAsia="Times New Roman" w:cs="Arial"/>
      <w:spacing w:val="0"/>
      <w:sz w:val="16"/>
      <w:szCs w:val="16"/>
      <w:lang w:eastAsia="ru-RU"/>
    </w:rPr>
  </w:style>
  <w:style w:type="paragraph" w:styleId="xl1740" w:customStyle="1">
    <w:name w:val="xl1740"/>
    <w:basedOn w:val="Normal"/>
    <w:qFormat/>
    <w:rsid w:val="00651b11"/>
    <w:pPr>
      <w:widowControl/>
      <w:shd w:val="clear" w:color="000000" w:fill="974706"/>
      <w:spacing w:beforeAutospacing="1" w:afterAutospacing="1"/>
      <w:ind w:hanging="0"/>
      <w:jc w:val="left"/>
      <w:textAlignment w:val="auto"/>
    </w:pPr>
    <w:rPr>
      <w:rFonts w:eastAsia="Times New Roman" w:cs="Arial"/>
      <w:b/>
      <w:bCs/>
      <w:color w:val="FFFFFF"/>
      <w:spacing w:val="0"/>
      <w:sz w:val="16"/>
      <w:szCs w:val="16"/>
      <w:lang w:eastAsia="ru-RU"/>
    </w:rPr>
  </w:style>
  <w:style w:type="paragraph" w:styleId="xl1741" w:customStyle="1">
    <w:name w:val="xl1741"/>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42" w:customStyle="1">
    <w:name w:val="xl1742"/>
    <w:basedOn w:val="Normal"/>
    <w:qFormat/>
    <w:rsid w:val="00651b11"/>
    <w:pPr>
      <w:widowControl/>
      <w:shd w:val="clear" w:color="000000" w:fill="B7DEE8"/>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43" w:customStyle="1">
    <w:name w:val="xl1743"/>
    <w:basedOn w:val="Normal"/>
    <w:qFormat/>
    <w:rsid w:val="00651b11"/>
    <w:pPr>
      <w:widowControl/>
      <w:pBdr>
        <w:top w:val="single" w:sz="8" w:space="0" w:color="000000"/>
        <w:left w:val="single" w:sz="8" w:space="0" w:color="000000"/>
        <w:bottom w:val="single" w:sz="8" w:space="0" w:color="000000"/>
        <w:right w:val="single" w:sz="8" w:space="0" w:color="000000"/>
      </w:pBdr>
      <w:shd w:val="clear" w:color="FFFF00" w:fill="B7DEE8"/>
      <w:spacing w:beforeAutospacing="1" w:afterAutospacing="1"/>
      <w:ind w:hanging="0"/>
      <w:jc w:val="center"/>
      <w:textAlignment w:val="auto"/>
    </w:pPr>
    <w:rPr>
      <w:rFonts w:eastAsia="Times New Roman" w:cs="Arial"/>
      <w:b/>
      <w:bCs/>
      <w:spacing w:val="0"/>
      <w:sz w:val="16"/>
      <w:szCs w:val="16"/>
      <w:lang w:eastAsia="ru-RU"/>
    </w:rPr>
  </w:style>
  <w:style w:type="paragraph" w:styleId="xl1744" w:customStyle="1">
    <w:name w:val="xl1744"/>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5" w:customStyle="1">
    <w:name w:val="xl1745"/>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6" w:customStyle="1">
    <w:name w:val="xl1746"/>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7" w:customStyle="1">
    <w:name w:val="xl1747"/>
    <w:basedOn w:val="Normal"/>
    <w:qFormat/>
    <w:rsid w:val="00651b11"/>
    <w:pPr>
      <w:widowControl/>
      <w:shd w:val="clear" w:color="FFFFCC" w:fill="B7DEE8"/>
      <w:spacing w:beforeAutospacing="1" w:afterAutospacing="1"/>
      <w:ind w:hanging="0"/>
      <w:jc w:val="left"/>
      <w:textAlignment w:val="auto"/>
    </w:pPr>
    <w:rPr>
      <w:rFonts w:eastAsia="Times New Roman" w:cs="Arial"/>
      <w:spacing w:val="0"/>
      <w:sz w:val="16"/>
      <w:szCs w:val="16"/>
      <w:lang w:eastAsia="ru-RU"/>
    </w:rPr>
  </w:style>
  <w:style w:type="paragraph" w:styleId="xl1748" w:customStyle="1">
    <w:name w:val="xl1748"/>
    <w:basedOn w:val="Normal"/>
    <w:qFormat/>
    <w:rsid w:val="00651b11"/>
    <w:pPr>
      <w:widowControl/>
      <w:shd w:val="clear" w:color="FFFF00" w:fill="FDE9D9"/>
      <w:spacing w:beforeAutospacing="1" w:afterAutospacing="1"/>
      <w:ind w:hanging="0"/>
      <w:jc w:val="center"/>
      <w:textAlignment w:val="auto"/>
    </w:pPr>
    <w:rPr>
      <w:rFonts w:eastAsia="Times New Roman" w:cs="Arial"/>
      <w:b/>
      <w:bCs/>
      <w:spacing w:val="0"/>
      <w:sz w:val="16"/>
      <w:szCs w:val="16"/>
      <w:lang w:eastAsia="ru-RU"/>
    </w:rPr>
  </w:style>
  <w:style w:type="paragraph" w:styleId="xl1749" w:customStyle="1">
    <w:name w:val="xl1749"/>
    <w:basedOn w:val="Normal"/>
    <w:qFormat/>
    <w:rsid w:val="00651b11"/>
    <w:pPr>
      <w:widowControl/>
      <w:shd w:val="clear" w:color="FFFF00" w:fill="BFBFBF"/>
      <w:spacing w:beforeAutospacing="1" w:afterAutospacing="1"/>
      <w:ind w:hanging="0"/>
      <w:jc w:val="left"/>
      <w:textAlignment w:val="auto"/>
    </w:pPr>
    <w:rPr>
      <w:rFonts w:eastAsia="Times New Roman" w:cs="Arial"/>
      <w:b/>
      <w:bCs/>
      <w:spacing w:val="0"/>
      <w:sz w:val="16"/>
      <w:szCs w:val="16"/>
      <w:lang w:eastAsia="ru-RU"/>
    </w:rPr>
  </w:style>
  <w:style w:type="paragraph" w:styleId="xl1750" w:customStyle="1">
    <w:name w:val="xl1750"/>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51" w:customStyle="1">
    <w:name w:val="xl1751"/>
    <w:basedOn w:val="Normal"/>
    <w:qFormat/>
    <w:rsid w:val="00651b11"/>
    <w:pPr>
      <w:widowControl/>
      <w:shd w:val="clear" w:color="000000" w:fill="FDE9D9"/>
      <w:spacing w:beforeAutospacing="1" w:afterAutospacing="1"/>
      <w:ind w:hanging="0"/>
      <w:jc w:val="left"/>
      <w:textAlignment w:val="auto"/>
    </w:pPr>
    <w:rPr>
      <w:rFonts w:eastAsia="Times New Roman" w:cs="Arial"/>
      <w:spacing w:val="0"/>
      <w:sz w:val="16"/>
      <w:szCs w:val="16"/>
      <w:lang w:eastAsia="ru-RU"/>
    </w:rPr>
  </w:style>
  <w:style w:type="paragraph" w:styleId="xl1752" w:customStyle="1">
    <w:name w:val="xl1752"/>
    <w:basedOn w:val="Normal"/>
    <w:qFormat/>
    <w:rsid w:val="00651b11"/>
    <w:pPr>
      <w:widowControl/>
      <w:shd w:val="clear" w:color="000000" w:fill="FDE9D9"/>
      <w:spacing w:beforeAutospacing="1" w:afterAutospacing="1"/>
      <w:ind w:hanging="0"/>
      <w:jc w:val="left"/>
      <w:textAlignment w:val="auto"/>
    </w:pPr>
    <w:rPr>
      <w:rFonts w:eastAsia="Times New Roman" w:cs="Arial"/>
      <w:spacing w:val="0"/>
      <w:sz w:val="16"/>
      <w:szCs w:val="16"/>
      <w:lang w:eastAsia="ru-RU"/>
    </w:rPr>
  </w:style>
  <w:style w:type="paragraph" w:styleId="xl1753" w:customStyle="1">
    <w:name w:val="xl1753"/>
    <w:basedOn w:val="Normal"/>
    <w:qFormat/>
    <w:rsid w:val="00651b11"/>
    <w:pPr>
      <w:widowControl/>
      <w:shd w:val="clear" w:color="000000" w:fill="B8CCE4"/>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54" w:customStyle="1">
    <w:name w:val="xl1754"/>
    <w:basedOn w:val="Normal"/>
    <w:qFormat/>
    <w:rsid w:val="00651b11"/>
    <w:pPr>
      <w:widowControl/>
      <w:shd w:val="clear" w:color="FFFF00" w:fill="B8CCE4"/>
      <w:spacing w:beforeAutospacing="1" w:afterAutospacing="1"/>
      <w:ind w:hanging="0"/>
      <w:jc w:val="left"/>
      <w:textAlignment w:val="auto"/>
    </w:pPr>
    <w:rPr>
      <w:rFonts w:eastAsia="Times New Roman" w:cs="Arial"/>
      <w:spacing w:val="0"/>
      <w:sz w:val="16"/>
      <w:szCs w:val="16"/>
      <w:lang w:eastAsia="ru-RU"/>
    </w:rPr>
  </w:style>
  <w:style w:type="paragraph" w:styleId="xl1755" w:customStyle="1">
    <w:name w:val="xl1755"/>
    <w:basedOn w:val="Normal"/>
    <w:qFormat/>
    <w:rsid w:val="00651b11"/>
    <w:pPr>
      <w:widowControl/>
      <w:shd w:val="clear" w:color="FFFF00" w:fill="BFBFBF"/>
      <w:spacing w:beforeAutospacing="1" w:afterAutospacing="1"/>
      <w:ind w:hanging="0"/>
      <w:jc w:val="left"/>
      <w:textAlignment w:val="auto"/>
    </w:pPr>
    <w:rPr>
      <w:rFonts w:eastAsia="Times New Roman" w:cs="Arial"/>
      <w:spacing w:val="0"/>
      <w:sz w:val="16"/>
      <w:szCs w:val="16"/>
      <w:lang w:eastAsia="ru-RU"/>
    </w:rPr>
  </w:style>
  <w:style w:type="paragraph" w:styleId="xl1756" w:customStyle="1">
    <w:name w:val="xl1756"/>
    <w:basedOn w:val="Normal"/>
    <w:qFormat/>
    <w:rsid w:val="00651b11"/>
    <w:pPr>
      <w:widowControl/>
      <w:shd w:val="clear" w:color="000000" w:fill="B8CCE4"/>
      <w:spacing w:beforeAutospacing="1" w:afterAutospacing="1"/>
      <w:ind w:hanging="0"/>
      <w:jc w:val="left"/>
      <w:textAlignment w:val="auto"/>
    </w:pPr>
    <w:rPr>
      <w:rFonts w:eastAsia="Times New Roman" w:cs="Arial"/>
      <w:b/>
      <w:bCs/>
      <w:spacing w:val="0"/>
      <w:sz w:val="16"/>
      <w:szCs w:val="16"/>
      <w:lang w:eastAsia="ru-RU"/>
    </w:rPr>
  </w:style>
  <w:style w:type="paragraph" w:styleId="xl1757" w:customStyle="1">
    <w:name w:val="xl1757"/>
    <w:basedOn w:val="Normal"/>
    <w:qFormat/>
    <w:rsid w:val="00651b11"/>
    <w:pPr>
      <w:widowControl/>
      <w:shd w:val="clear" w:color="FFFF00" w:fill="B8CCE4"/>
      <w:spacing w:beforeAutospacing="1" w:afterAutospacing="1"/>
      <w:ind w:hanging="0"/>
      <w:jc w:val="center"/>
      <w:textAlignment w:val="auto"/>
    </w:pPr>
    <w:rPr>
      <w:rFonts w:eastAsia="Times New Roman" w:cs="Arial"/>
      <w:b/>
      <w:bCs/>
      <w:spacing w:val="0"/>
      <w:sz w:val="16"/>
      <w:szCs w:val="16"/>
      <w:lang w:eastAsia="ru-RU"/>
    </w:rPr>
  </w:style>
  <w:style w:type="paragraph" w:styleId="xl1758" w:customStyle="1">
    <w:name w:val="xl1758"/>
    <w:basedOn w:val="Normal"/>
    <w:qFormat/>
    <w:rsid w:val="00651b11"/>
    <w:pPr>
      <w:widowControl/>
      <w:shd w:val="clear" w:color="FFFF00" w:fill="BFBFBF"/>
      <w:spacing w:beforeAutospacing="1" w:afterAutospacing="1"/>
      <w:ind w:hanging="0"/>
      <w:jc w:val="left"/>
      <w:textAlignment w:val="auto"/>
    </w:pPr>
    <w:rPr>
      <w:rFonts w:eastAsia="Times New Roman" w:cs="Arial"/>
      <w:spacing w:val="0"/>
      <w:sz w:val="16"/>
      <w:szCs w:val="16"/>
      <w:lang w:eastAsia="ru-RU"/>
    </w:rPr>
  </w:style>
  <w:style w:type="paragraph" w:styleId="xl1759" w:customStyle="1">
    <w:name w:val="xl1759"/>
    <w:basedOn w:val="Normal"/>
    <w:qFormat/>
    <w:rsid w:val="00651b11"/>
    <w:pPr>
      <w:widowControl/>
      <w:shd w:val="clear" w:color="000000" w:fill="800000"/>
      <w:spacing w:beforeAutospacing="1" w:afterAutospacing="1"/>
      <w:ind w:hanging="0"/>
      <w:jc w:val="center"/>
      <w:textAlignment w:val="center"/>
    </w:pPr>
    <w:rPr>
      <w:rFonts w:eastAsia="Times New Roman" w:cs="Arial"/>
      <w:b/>
      <w:bCs/>
      <w:color w:val="FFFFFF"/>
      <w:spacing w:val="0"/>
      <w:sz w:val="24"/>
      <w:szCs w:val="24"/>
      <w:lang w:eastAsia="ru-RU"/>
    </w:rPr>
  </w:style>
  <w:style w:type="paragraph" w:styleId="xl1760" w:customStyle="1">
    <w:name w:val="xl1760"/>
    <w:basedOn w:val="Normal"/>
    <w:qFormat/>
    <w:rsid w:val="00651b11"/>
    <w:pPr>
      <w:widowControl/>
      <w:shd w:val="clear" w:color="000000" w:fill="FDE9D9"/>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61" w:customStyle="1">
    <w:name w:val="xl1761"/>
    <w:basedOn w:val="Normal"/>
    <w:qFormat/>
    <w:rsid w:val="00651b11"/>
    <w:pPr>
      <w:widowControl/>
      <w:shd w:val="clear" w:color="000000" w:fill="B8CCE4"/>
      <w:spacing w:beforeAutospacing="1" w:afterAutospacing="1"/>
      <w:ind w:hanging="0"/>
      <w:jc w:val="left"/>
      <w:textAlignment w:val="center"/>
    </w:pPr>
    <w:rPr>
      <w:rFonts w:eastAsia="Times New Roman" w:cs="Arial"/>
      <w:b/>
      <w:bCs/>
      <w:spacing w:val="0"/>
      <w:sz w:val="16"/>
      <w:szCs w:val="16"/>
      <w:lang w:eastAsia="ru-RU"/>
    </w:rPr>
  </w:style>
  <w:style w:type="paragraph" w:styleId="xl1762" w:customStyle="1">
    <w:name w:val="xl1762"/>
    <w:basedOn w:val="Normal"/>
    <w:qFormat/>
    <w:rsid w:val="00651b11"/>
    <w:pPr>
      <w:widowControl/>
      <w:shd w:val="clear" w:color="000000" w:fill="FDE9D9"/>
      <w:spacing w:beforeAutospacing="1" w:afterAutospacing="1"/>
      <w:ind w:hanging="0"/>
      <w:jc w:val="left"/>
      <w:textAlignment w:val="center"/>
    </w:pPr>
    <w:rPr>
      <w:rFonts w:eastAsia="Times New Roman" w:cs="Arial"/>
      <w:b/>
      <w:bCs/>
      <w:color w:val="FF0000"/>
      <w:spacing w:val="0"/>
      <w:sz w:val="16"/>
      <w:szCs w:val="16"/>
      <w:lang w:eastAsia="ru-RU"/>
    </w:rPr>
  </w:style>
  <w:style w:type="paragraph" w:styleId="xl1763" w:customStyle="1">
    <w:name w:val="xl1763"/>
    <w:basedOn w:val="Normal"/>
    <w:qFormat/>
    <w:rsid w:val="00651b11"/>
    <w:pPr>
      <w:widowControl/>
      <w:shd w:val="clear" w:color="000000" w:fill="FABF8F"/>
      <w:spacing w:beforeAutospacing="1" w:afterAutospacing="1"/>
      <w:ind w:hanging="0"/>
      <w:jc w:val="right"/>
      <w:textAlignment w:val="center"/>
    </w:pPr>
    <w:rPr>
      <w:rFonts w:eastAsia="Times New Roman" w:cs="Arial"/>
      <w:spacing w:val="0"/>
      <w:sz w:val="16"/>
      <w:szCs w:val="16"/>
      <w:lang w:eastAsia="ru-RU"/>
    </w:rPr>
  </w:style>
  <w:style w:type="paragraph" w:styleId="xl1764" w:customStyle="1">
    <w:name w:val="xl1764"/>
    <w:basedOn w:val="Normal"/>
    <w:qFormat/>
    <w:rsid w:val="00651b11"/>
    <w:pPr>
      <w:widowControl/>
      <w:shd w:val="clear" w:color="000000" w:fill="FABF8F"/>
      <w:spacing w:beforeAutospacing="1" w:afterAutospacing="1"/>
      <w:ind w:hanging="0"/>
      <w:jc w:val="right"/>
      <w:textAlignment w:val="auto"/>
    </w:pPr>
    <w:rPr>
      <w:rFonts w:eastAsia="Times New Roman" w:cs="Arial"/>
      <w:spacing w:val="0"/>
      <w:sz w:val="16"/>
      <w:szCs w:val="16"/>
      <w:lang w:eastAsia="ru-RU"/>
    </w:rPr>
  </w:style>
  <w:style w:type="paragraph" w:styleId="xl1765" w:customStyle="1">
    <w:name w:val="xl1765"/>
    <w:basedOn w:val="Normal"/>
    <w:qFormat/>
    <w:rsid w:val="00651b11"/>
    <w:pPr>
      <w:widowControl/>
      <w:shd w:val="clear" w:color="000000" w:fill="FABF8F"/>
      <w:spacing w:beforeAutospacing="1" w:afterAutospacing="1"/>
      <w:ind w:hanging="0"/>
      <w:jc w:val="right"/>
      <w:textAlignment w:val="auto"/>
    </w:pPr>
    <w:rPr>
      <w:rFonts w:eastAsia="Times New Roman" w:cs="Arial"/>
      <w:spacing w:val="0"/>
      <w:sz w:val="16"/>
      <w:szCs w:val="16"/>
      <w:lang w:eastAsia="ru-RU"/>
    </w:rPr>
  </w:style>
  <w:style w:type="paragraph" w:styleId="xl1766" w:customStyle="1">
    <w:name w:val="xl1766"/>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67" w:customStyle="1">
    <w:name w:val="xl1767"/>
    <w:basedOn w:val="Normal"/>
    <w:qFormat/>
    <w:rsid w:val="00651b11"/>
    <w:pPr>
      <w:widowControl/>
      <w:spacing w:beforeAutospacing="1" w:afterAutospacing="1"/>
      <w:ind w:hanging="0"/>
      <w:jc w:val="left"/>
      <w:textAlignment w:val="auto"/>
    </w:pPr>
    <w:rPr>
      <w:rFonts w:eastAsia="Times New Roman" w:cs="Arial"/>
      <w:spacing w:val="0"/>
      <w:sz w:val="16"/>
      <w:szCs w:val="16"/>
      <w:lang w:eastAsia="ru-RU"/>
    </w:rPr>
  </w:style>
  <w:style w:type="paragraph" w:styleId="xl1768" w:customStyle="1">
    <w:name w:val="xl1768"/>
    <w:basedOn w:val="Normal"/>
    <w:qFormat/>
    <w:rsid w:val="00651b11"/>
    <w:pPr>
      <w:widowControl/>
      <w:shd w:val="clear" w:color="FFFF00" w:fill="B8CCE4"/>
      <w:spacing w:beforeAutospacing="1" w:afterAutospacing="1"/>
      <w:ind w:hanging="0"/>
      <w:jc w:val="left"/>
      <w:textAlignment w:val="auto"/>
    </w:pPr>
    <w:rPr>
      <w:rFonts w:eastAsia="Times New Roman" w:cs="Arial"/>
      <w:spacing w:val="0"/>
      <w:sz w:val="16"/>
      <w:szCs w:val="16"/>
      <w:lang w:eastAsia="ru-RU"/>
    </w:rPr>
  </w:style>
  <w:style w:type="paragraph" w:styleId="xl1769" w:customStyle="1">
    <w:name w:val="xl1769"/>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70" w:customStyle="1">
    <w:name w:val="xl1770"/>
    <w:basedOn w:val="Normal"/>
    <w:qFormat/>
    <w:rsid w:val="00651b11"/>
    <w:pPr>
      <w:widowControl/>
      <w:shd w:val="clear" w:color="FFFF00" w:fill="B7DEE8"/>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71" w:customStyle="1">
    <w:name w:val="xl1771"/>
    <w:basedOn w:val="Normal"/>
    <w:qFormat/>
    <w:rsid w:val="00651b11"/>
    <w:pPr>
      <w:widowControl/>
      <w:shd w:val="clear" w:color="000000" w:fill="92D050"/>
      <w:spacing w:beforeAutospacing="1" w:afterAutospacing="1"/>
      <w:ind w:hanging="0"/>
      <w:jc w:val="right"/>
      <w:textAlignment w:val="auto"/>
    </w:pPr>
    <w:rPr>
      <w:rFonts w:eastAsia="Times New Roman" w:cs="Arial"/>
      <w:spacing w:val="0"/>
      <w:sz w:val="16"/>
      <w:szCs w:val="16"/>
      <w:lang w:eastAsia="ru-RU"/>
    </w:rPr>
  </w:style>
  <w:style w:type="paragraph" w:styleId="xl1772" w:customStyle="1">
    <w:name w:val="xl1772"/>
    <w:basedOn w:val="Normal"/>
    <w:qFormat/>
    <w:rsid w:val="00651b11"/>
    <w:pPr>
      <w:widowControl/>
      <w:shd w:val="clear" w:color="000000" w:fill="92D050"/>
      <w:spacing w:beforeAutospacing="1" w:afterAutospacing="1"/>
      <w:ind w:hanging="0"/>
      <w:jc w:val="left"/>
      <w:textAlignment w:val="auto"/>
    </w:pPr>
    <w:rPr>
      <w:rFonts w:eastAsia="Times New Roman" w:cs="Arial"/>
      <w:spacing w:val="0"/>
      <w:sz w:val="16"/>
      <w:szCs w:val="16"/>
      <w:lang w:eastAsia="ru-RU"/>
    </w:rPr>
  </w:style>
  <w:style w:type="paragraph" w:styleId="xl1773" w:customStyle="1">
    <w:name w:val="xl1773"/>
    <w:basedOn w:val="Normal"/>
    <w:qFormat/>
    <w:rsid w:val="00651b11"/>
    <w:pPr>
      <w:widowControl/>
      <w:shd w:val="clear" w:color="FFFF00" w:fill="FF0000"/>
      <w:spacing w:beforeAutospacing="1" w:afterAutospacing="1"/>
      <w:ind w:hanging="0"/>
      <w:jc w:val="left"/>
      <w:textAlignment w:val="auto"/>
    </w:pPr>
    <w:rPr>
      <w:rFonts w:eastAsia="Times New Roman" w:cs="Arial"/>
      <w:spacing w:val="0"/>
      <w:sz w:val="16"/>
      <w:szCs w:val="16"/>
      <w:lang w:eastAsia="ru-RU"/>
    </w:rPr>
  </w:style>
  <w:style w:type="paragraph" w:styleId="xl7334" w:customStyle="1">
    <w:name w:val="xl7334"/>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5" w:customStyle="1">
    <w:name w:val="xl7335"/>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6" w:customStyle="1">
    <w:name w:val="xl7336"/>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spacing w:val="0"/>
      <w:sz w:val="20"/>
      <w:szCs w:val="20"/>
      <w:lang w:eastAsia="ru-RU"/>
    </w:rPr>
  </w:style>
  <w:style w:type="paragraph" w:styleId="xl7337" w:customStyle="1">
    <w:name w:val="xl7337"/>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8" w:customStyle="1">
    <w:name w:val="xl7338"/>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9" w:customStyle="1">
    <w:name w:val="xl7339"/>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b/>
      <w:bCs/>
      <w:i/>
      <w:iCs/>
      <w:spacing w:val="0"/>
      <w:sz w:val="20"/>
      <w:szCs w:val="20"/>
      <w:lang w:eastAsia="ru-RU"/>
    </w:rPr>
  </w:style>
  <w:style w:type="paragraph" w:styleId="xl7340" w:customStyle="1">
    <w:name w:val="xl7340"/>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1" w:customStyle="1">
    <w:name w:val="xl7341"/>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u w:val="single"/>
      <w:lang w:eastAsia="ru-RU"/>
    </w:rPr>
  </w:style>
  <w:style w:type="paragraph" w:styleId="xl7342" w:customStyle="1">
    <w:name w:val="xl7342"/>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3" w:customStyle="1">
    <w:name w:val="xl7343"/>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44" w:customStyle="1">
    <w:name w:val="xl7344"/>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5" w:customStyle="1">
    <w:name w:val="xl7345"/>
    <w:basedOn w:val="Normal"/>
    <w:qFormat/>
    <w:rsid w:val="00651b11"/>
    <w:pPr>
      <w:widowControl/>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46" w:customStyle="1">
    <w:name w:val="xl7346"/>
    <w:basedOn w:val="Normal"/>
    <w:qFormat/>
    <w:rsid w:val="00651b11"/>
    <w:pPr>
      <w:widowControl/>
      <w:shd w:val="clear" w:color="000000" w:fill="FFFF00"/>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47" w:customStyle="1">
    <w:name w:val="xl7347"/>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48" w:customStyle="1">
    <w:name w:val="xl7348"/>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C0DA"/>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9" w:customStyle="1">
    <w:name w:val="xl7349"/>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C0DA"/>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0" w:customStyle="1">
    <w:name w:val="xl7350"/>
    <w:basedOn w:val="Normal"/>
    <w:qFormat/>
    <w:rsid w:val="00651b11"/>
    <w:pPr>
      <w:widowControl/>
      <w:shd w:val="clear" w:color="000000" w:fill="CCC0DA"/>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51" w:customStyle="1">
    <w:name w:val="xl7351"/>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A9694"/>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2" w:customStyle="1">
    <w:name w:val="xl7352"/>
    <w:basedOn w:val="Normal"/>
    <w:qFormat/>
    <w:rsid w:val="00651b11"/>
    <w:pPr>
      <w:widowControl/>
      <w:shd w:val="clear" w:color="000000" w:fill="DA969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53" w:customStyle="1">
    <w:name w:val="xl7353"/>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4" w:customStyle="1">
    <w:name w:val="xl7354"/>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5" w:customStyle="1">
    <w:name w:val="xl7355"/>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6" w:customStyle="1">
    <w:name w:val="xl7356"/>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CE6F1"/>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7" w:customStyle="1">
    <w:name w:val="xl7357"/>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A9694"/>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58843" w:customStyle="1">
    <w:name w:val="xl58843"/>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44" w:customStyle="1">
    <w:name w:val="xl58844"/>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45" w:customStyle="1">
    <w:name w:val="xl58845"/>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spacing w:val="0"/>
      <w:sz w:val="24"/>
      <w:szCs w:val="24"/>
      <w:lang w:eastAsia="ru-RU"/>
    </w:rPr>
  </w:style>
  <w:style w:type="paragraph" w:styleId="xl58846" w:customStyle="1">
    <w:name w:val="xl5884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58847" w:customStyle="1">
    <w:name w:val="xl5884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848" w:customStyle="1">
    <w:name w:val="xl58848"/>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849" w:customStyle="1">
    <w:name w:val="xl58849"/>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0" w:customStyle="1">
    <w:name w:val="xl58850"/>
    <w:basedOn w:val="Normal"/>
    <w:qFormat/>
    <w:rsid w:val="0075028d"/>
    <w:pPr>
      <w:widowControl/>
      <w:spacing w:beforeAutospacing="1" w:afterAutospacing="1"/>
      <w:ind w:hanging="0"/>
      <w:jc w:val="left"/>
      <w:textAlignment w:val="auto"/>
    </w:pPr>
    <w:rPr>
      <w:rFonts w:eastAsia="Times New Roman" w:cs="Arial"/>
      <w:spacing w:val="0"/>
      <w:sz w:val="24"/>
      <w:szCs w:val="24"/>
      <w:lang w:eastAsia="ru-RU"/>
    </w:rPr>
  </w:style>
  <w:style w:type="paragraph" w:styleId="xl58851" w:customStyle="1">
    <w:name w:val="xl58851"/>
    <w:basedOn w:val="Normal"/>
    <w:qFormat/>
    <w:rsid w:val="0075028d"/>
    <w:pPr>
      <w:widowControl/>
      <w:spacing w:beforeAutospacing="1" w:afterAutospacing="1"/>
      <w:ind w:hanging="0"/>
      <w:jc w:val="left"/>
      <w:textAlignment w:val="auto"/>
    </w:pPr>
    <w:rPr>
      <w:rFonts w:eastAsia="Times New Roman" w:cs="Arial"/>
      <w:spacing w:val="0"/>
      <w:sz w:val="24"/>
      <w:szCs w:val="24"/>
      <w:lang w:eastAsia="ru-RU"/>
    </w:rPr>
  </w:style>
  <w:style w:type="paragraph" w:styleId="xl58852" w:customStyle="1">
    <w:name w:val="xl58852"/>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3" w:customStyle="1">
    <w:name w:val="xl58853"/>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4" w:customStyle="1">
    <w:name w:val="xl58854"/>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5" w:customStyle="1">
    <w:name w:val="xl58855"/>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6" w:customStyle="1">
    <w:name w:val="xl5885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7" w:customStyle="1">
    <w:name w:val="xl5885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8" w:customStyle="1">
    <w:name w:val="xl58858"/>
    <w:basedOn w:val="Normal"/>
    <w:qFormat/>
    <w:rsid w:val="0075028d"/>
    <w:pPr>
      <w:widowControl/>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9" w:customStyle="1">
    <w:name w:val="xl58859"/>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0" w:customStyle="1">
    <w:name w:val="xl58860"/>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61" w:customStyle="1">
    <w:name w:val="xl58861"/>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2" w:customStyle="1">
    <w:name w:val="xl58862"/>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63" w:customStyle="1">
    <w:name w:val="xl58863"/>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4" w:customStyle="1">
    <w:name w:val="xl58864"/>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18"/>
      <w:szCs w:val="18"/>
      <w:lang w:eastAsia="ru-RU"/>
    </w:rPr>
  </w:style>
  <w:style w:type="paragraph" w:styleId="xl58865" w:customStyle="1">
    <w:name w:val="xl58865"/>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18"/>
      <w:szCs w:val="18"/>
      <w:lang w:eastAsia="ru-RU"/>
    </w:rPr>
  </w:style>
  <w:style w:type="paragraph" w:styleId="xl58866" w:customStyle="1">
    <w:name w:val="xl5886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7" w:customStyle="1">
    <w:name w:val="xl5886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8" w:customStyle="1">
    <w:name w:val="xl58868"/>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9" w:customStyle="1">
    <w:name w:val="xl58869"/>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70" w:customStyle="1">
    <w:name w:val="xl58870"/>
    <w:basedOn w:val="Normal"/>
    <w:qFormat/>
    <w:rsid w:val="0075028d"/>
    <w:pPr>
      <w:widowControl/>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71" w:customStyle="1">
    <w:name w:val="xl58871"/>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4473" w:customStyle="1">
    <w:name w:val="xl4473"/>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4474" w:customStyle="1">
    <w:name w:val="xl4474"/>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textAlignment w:val="center"/>
    </w:pPr>
    <w:rPr>
      <w:rFonts w:ascii="Times New Roman" w:hAnsi="Times New Roman" w:eastAsia="Times New Roman"/>
      <w:spacing w:val="0"/>
      <w:sz w:val="24"/>
      <w:szCs w:val="24"/>
      <w:lang w:eastAsia="ru-RU"/>
    </w:rPr>
  </w:style>
  <w:style w:type="paragraph" w:styleId="xl4475" w:customStyle="1">
    <w:name w:val="xl4475"/>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4476" w:customStyle="1">
    <w:name w:val="xl4476"/>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sz w:val="20"/>
      <w:szCs w:val="20"/>
      <w:lang w:eastAsia="ru-RU"/>
    </w:rPr>
  </w:style>
  <w:style w:type="paragraph" w:styleId="xl4477" w:customStyle="1">
    <w:name w:val="xl4477"/>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i/>
      <w:iCs/>
      <w:spacing w:val="0"/>
      <w:sz w:val="20"/>
      <w:szCs w:val="20"/>
      <w:lang w:eastAsia="ru-RU"/>
    </w:rPr>
  </w:style>
  <w:style w:type="paragraph" w:styleId="xl4478" w:customStyle="1">
    <w:name w:val="xl4478"/>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top"/>
    </w:pPr>
    <w:rPr>
      <w:rFonts w:eastAsia="Times New Roman" w:cs="Arial"/>
      <w:color w:val="000000"/>
      <w:spacing w:val="0"/>
      <w:sz w:val="20"/>
      <w:szCs w:val="20"/>
      <w:lang w:eastAsia="ru-RU"/>
    </w:rPr>
  </w:style>
  <w:style w:type="paragraph" w:styleId="xl4479" w:customStyle="1">
    <w:name w:val="xl4479"/>
    <w:basedOn w:val="Normal"/>
    <w:qFormat/>
    <w:rsid w:val="00054d9c"/>
    <w:pPr>
      <w:widowControl/>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4480" w:customStyle="1">
    <w:name w:val="xl4480"/>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color w:val="000000"/>
      <w:spacing w:val="0"/>
      <w:sz w:val="20"/>
      <w:szCs w:val="20"/>
      <w:lang w:eastAsia="ru-RU"/>
    </w:rPr>
  </w:style>
  <w:style w:type="paragraph" w:styleId="xl4481" w:customStyle="1">
    <w:name w:val="xl4481"/>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2" w:customStyle="1">
    <w:name w:val="xl4482"/>
    <w:basedOn w:val="Normal"/>
    <w:qFormat/>
    <w:rsid w:val="00054d9c"/>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3" w:customStyle="1">
    <w:name w:val="xl4483"/>
    <w:basedOn w:val="Normal"/>
    <w:qFormat/>
    <w:rsid w:val="00054d9c"/>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4" w:customStyle="1">
    <w:name w:val="xl4484"/>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4485" w:customStyle="1">
    <w:name w:val="xl4485"/>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4486" w:customStyle="1">
    <w:name w:val="xl4486"/>
    <w:basedOn w:val="Normal"/>
    <w:qFormat/>
    <w:rsid w:val="00054d9c"/>
    <w:pPr>
      <w:widowControl/>
      <w:pBdr>
        <w:top w:val="single" w:sz="4" w:space="0" w:color="000000"/>
        <w:left w:val="single" w:sz="4" w:space="0" w:color="000000"/>
        <w:bottom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4487" w:customStyle="1">
    <w:name w:val="xl4487"/>
    <w:basedOn w:val="Normal"/>
    <w:qFormat/>
    <w:rsid w:val="00054d9c"/>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4472" w:customStyle="1">
    <w:name w:val="xl4472"/>
    <w:basedOn w:val="Normal"/>
    <w:qFormat/>
    <w:rsid w:val="005d7ab7"/>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4470" w:customStyle="1">
    <w:name w:val="xl4470"/>
    <w:basedOn w:val="Normal"/>
    <w:qFormat/>
    <w:rsid w:val="003505f2"/>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4471" w:customStyle="1">
    <w:name w:val="xl4471"/>
    <w:basedOn w:val="Normal"/>
    <w:qFormat/>
    <w:rsid w:val="003505f2"/>
    <w:pPr>
      <w:widowControl/>
      <w:pBdr>
        <w:top w:val="single" w:sz="4" w:space="0" w:color="000000"/>
        <w:left w:val="single" w:sz="4" w:space="0" w:color="000000"/>
        <w:bottom w:val="single" w:sz="4" w:space="0" w:color="000000"/>
        <w:right w:val="single" w:sz="4" w:space="0" w:color="000000"/>
      </w:pBdr>
      <w:spacing w:beforeAutospacing="1" w:afterAutospacing="1"/>
      <w:ind w:hanging="0"/>
      <w:textAlignment w:val="center"/>
    </w:pPr>
    <w:rPr>
      <w:rFonts w:ascii="Times New Roman" w:hAnsi="Times New Roman" w:eastAsia="Times New Roman"/>
      <w:spacing w:val="0"/>
      <w:sz w:val="24"/>
      <w:szCs w:val="24"/>
      <w:lang w:eastAsia="ru-RU"/>
    </w:rPr>
  </w:style>
  <w:style w:type="paragraph" w:styleId="xl58920" w:customStyle="1">
    <w:name w:val="xl58920"/>
    <w:basedOn w:val="Normal"/>
    <w:qFormat/>
    <w:rsid w:val="003005f0"/>
    <w:pPr>
      <w:widowControl/>
      <w:pBdr>
        <w:top w:val="single" w:sz="4" w:space="0" w:color="000000"/>
        <w:left w:val="single" w:sz="4" w:space="17"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1" w:customStyle="1">
    <w:name w:val="xl58921"/>
    <w:basedOn w:val="Normal"/>
    <w:qFormat/>
    <w:rsid w:val="003005f0"/>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2" w:customStyle="1">
    <w:name w:val="xl58922"/>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3" w:customStyle="1">
    <w:name w:val="xl58923"/>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4" w:customStyle="1">
    <w:name w:val="xl58924"/>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spacing w:val="0"/>
      <w:sz w:val="24"/>
      <w:szCs w:val="24"/>
      <w:lang w:eastAsia="ru-RU"/>
    </w:rPr>
  </w:style>
  <w:style w:type="paragraph" w:styleId="xl58925" w:customStyle="1">
    <w:name w:val="xl58925"/>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58926" w:customStyle="1">
    <w:name w:val="xl58926"/>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927" w:customStyle="1">
    <w:name w:val="xl58927"/>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928" w:customStyle="1">
    <w:name w:val="xl58928"/>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9" w:customStyle="1">
    <w:name w:val="xl58929"/>
    <w:basedOn w:val="Normal"/>
    <w:qFormat/>
    <w:rsid w:val="003005f0"/>
    <w:pPr>
      <w:widowControl/>
      <w:spacing w:beforeAutospacing="1" w:afterAutospacing="1"/>
      <w:ind w:hanging="0"/>
      <w:jc w:val="left"/>
      <w:textAlignment w:val="auto"/>
    </w:pPr>
    <w:rPr>
      <w:rFonts w:eastAsia="Times New Roman" w:cs="Arial"/>
      <w:spacing w:val="0"/>
      <w:sz w:val="24"/>
      <w:szCs w:val="24"/>
      <w:lang w:eastAsia="ru-RU"/>
    </w:rPr>
  </w:style>
  <w:style w:type="paragraph" w:styleId="xl58930" w:customStyle="1">
    <w:name w:val="xl58930"/>
    <w:basedOn w:val="Normal"/>
    <w:qFormat/>
    <w:rsid w:val="003005f0"/>
    <w:pPr>
      <w:widowControl/>
      <w:spacing w:beforeAutospacing="1" w:afterAutospacing="1"/>
      <w:ind w:hanging="0"/>
      <w:jc w:val="left"/>
      <w:textAlignment w:val="auto"/>
    </w:pPr>
    <w:rPr>
      <w:rFonts w:eastAsia="Times New Roman" w:cs="Arial"/>
      <w:spacing w:val="0"/>
      <w:sz w:val="24"/>
      <w:szCs w:val="24"/>
      <w:lang w:eastAsia="ru-RU"/>
    </w:rPr>
  </w:style>
  <w:style w:type="paragraph" w:styleId="xl58931" w:customStyle="1">
    <w:name w:val="xl58931"/>
    <w:basedOn w:val="Normal"/>
    <w:qFormat/>
    <w:rsid w:val="003005f0"/>
    <w:pPr>
      <w:widowControl/>
      <w:pBdr>
        <w:top w:val="single" w:sz="4" w:space="0" w:color="000000"/>
        <w:left w:val="single" w:sz="4" w:space="25"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2" w:customStyle="1">
    <w:name w:val="xl58932"/>
    <w:basedOn w:val="Normal"/>
    <w:qFormat/>
    <w:rsid w:val="003005f0"/>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3" w:customStyle="1">
    <w:name w:val="xl58933"/>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4" w:customStyle="1">
    <w:name w:val="xl58934"/>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5" w:customStyle="1">
    <w:name w:val="xl58935"/>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6" w:customStyle="1">
    <w:name w:val="xl58936"/>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7" w:customStyle="1">
    <w:name w:val="xl58937"/>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8" w:customStyle="1">
    <w:name w:val="xl58938"/>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9" w:customStyle="1">
    <w:name w:val="xl58939"/>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0" w:customStyle="1">
    <w:name w:val="xl58940"/>
    <w:basedOn w:val="Normal"/>
    <w:qFormat/>
    <w:rsid w:val="003005f0"/>
    <w:pPr>
      <w:widowControl/>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1" w:customStyle="1">
    <w:name w:val="xl58941"/>
    <w:basedOn w:val="Normal"/>
    <w:qFormat/>
    <w:rsid w:val="003005f0"/>
    <w:pPr>
      <w:widowControl/>
      <w:pBdr>
        <w:top w:val="single" w:sz="4" w:space="0" w:color="000000"/>
        <w:left w:val="single" w:sz="4" w:space="25"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2" w:customStyle="1">
    <w:name w:val="xl58942"/>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3" w:customStyle="1">
    <w:name w:val="xl58943"/>
    <w:basedOn w:val="Normal"/>
    <w:qFormat/>
    <w:rsid w:val="003005f0"/>
    <w:pPr>
      <w:widowControl/>
      <w:pBdr>
        <w:top w:val="single" w:sz="4" w:space="0" w:color="000000"/>
        <w:left w:val="single" w:sz="4" w:space="8"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4" w:customStyle="1">
    <w:name w:val="xl58944"/>
    <w:basedOn w:val="Normal"/>
    <w:qFormat/>
    <w:rsid w:val="003005f0"/>
    <w:pPr>
      <w:widowControl/>
      <w:pBdr>
        <w:top w:val="single" w:sz="4" w:space="0" w:color="000000"/>
        <w:left w:val="single" w:sz="4" w:space="31"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5" w:customStyle="1">
    <w:name w:val="xl58945"/>
    <w:basedOn w:val="Normal"/>
    <w:qFormat/>
    <w:rsid w:val="003005f0"/>
    <w:pPr>
      <w:widowControl/>
      <w:pBdr>
        <w:top w:val="single" w:sz="4" w:space="0" w:color="000000"/>
        <w:left w:val="single" w:sz="4" w:space="17"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6" w:customStyle="1">
    <w:name w:val="xl58946"/>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47" w:customStyle="1">
    <w:name w:val="xl58947"/>
    <w:basedOn w:val="Normal"/>
    <w:qFormat/>
    <w:rsid w:val="003005f0"/>
    <w:pPr>
      <w:widowControl/>
      <w:pBdr>
        <w:top w:val="single" w:sz="4" w:space="0" w:color="000000"/>
        <w:left w:val="single" w:sz="4" w:space="0" w:color="000000"/>
        <w:bottom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2852" w:customStyle="1">
    <w:name w:val="xl62852"/>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62853" w:customStyle="1">
    <w:name w:val="xl62853"/>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color w:val="000000"/>
      <w:spacing w:val="0"/>
      <w:sz w:val="20"/>
      <w:szCs w:val="20"/>
      <w:lang w:eastAsia="ru-RU"/>
    </w:rPr>
  </w:style>
  <w:style w:type="paragraph" w:styleId="xl62854" w:customStyle="1">
    <w:name w:val="xl62854"/>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62855" w:customStyle="1">
    <w:name w:val="xl62855"/>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62856" w:customStyle="1">
    <w:name w:val="xl62856"/>
    <w:basedOn w:val="Normal"/>
    <w:qFormat/>
    <w:rsid w:val="000c1e5c"/>
    <w:pPr>
      <w:widowControl/>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62857" w:customStyle="1">
    <w:name w:val="xl62857"/>
    <w:basedOn w:val="Normal"/>
    <w:qFormat/>
    <w:rsid w:val="000c1e5c"/>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62858" w:customStyle="1">
    <w:name w:val="xl62858"/>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62859" w:customStyle="1">
    <w:name w:val="xl62859"/>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0" w:customStyle="1">
    <w:name w:val="xl62860"/>
    <w:basedOn w:val="Normal"/>
    <w:qFormat/>
    <w:rsid w:val="000c1e5c"/>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1" w:customStyle="1">
    <w:name w:val="xl62861"/>
    <w:basedOn w:val="Normal"/>
    <w:qFormat/>
    <w:rsid w:val="000c1e5c"/>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2" w:customStyle="1">
    <w:name w:val="xl62862"/>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58918" w:customStyle="1">
    <w:name w:val="xl58918"/>
    <w:basedOn w:val="Normal"/>
    <w:qFormat/>
    <w:rsid w:val="006f7d41"/>
    <w:pPr>
      <w:widowControl/>
      <w:pBdr>
        <w:top w:val="single" w:sz="4" w:space="0" w:color="000000"/>
        <w:left w:val="single" w:sz="4" w:space="15"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19" w:customStyle="1">
    <w:name w:val="xl58919"/>
    <w:basedOn w:val="Normal"/>
    <w:qFormat/>
    <w:rsid w:val="006f7d41"/>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2863" w:customStyle="1">
    <w:name w:val="xl62863"/>
    <w:basedOn w:val="Normal"/>
    <w:qFormat/>
    <w:rsid w:val="00db3667"/>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62864" w:customStyle="1">
    <w:name w:val="xl62864"/>
    <w:basedOn w:val="Normal"/>
    <w:qFormat/>
    <w:rsid w:val="00db3667"/>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5" w:customStyle="1">
    <w:name w:val="xl62865"/>
    <w:basedOn w:val="Normal"/>
    <w:qFormat/>
    <w:rsid w:val="00db3667"/>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6" w:customStyle="1">
    <w:name w:val="xl62866"/>
    <w:basedOn w:val="Normal"/>
    <w:qFormat/>
    <w:rsid w:val="00db3667"/>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32663" w:customStyle="1">
    <w:name w:val="xl32663"/>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4" w:customStyle="1">
    <w:name w:val="xl32664"/>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5" w:customStyle="1">
    <w:name w:val="xl32665"/>
    <w:basedOn w:val="Normal"/>
    <w:qFormat/>
    <w:rsid w:val="003f3e4c"/>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32666" w:customStyle="1">
    <w:name w:val="xl32666"/>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7" w:customStyle="1">
    <w:name w:val="xl32667"/>
    <w:basedOn w:val="Normal"/>
    <w:qFormat/>
    <w:rsid w:val="003f3e4c"/>
    <w:pPr>
      <w:widowControl/>
      <w:spacing w:beforeAutospacing="1" w:afterAutospacing="1"/>
      <w:ind w:hanging="0"/>
      <w:jc w:val="left"/>
      <w:textAlignment w:val="auto"/>
    </w:pPr>
    <w:rPr>
      <w:rFonts w:eastAsia="Times New Roman" w:cs="Arial"/>
      <w:color w:val="000000"/>
      <w:spacing w:val="0"/>
      <w:lang w:eastAsia="ru-RU"/>
    </w:rPr>
  </w:style>
  <w:style w:type="paragraph" w:styleId="xl32668" w:customStyle="1">
    <w:name w:val="xl32668"/>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69" w:customStyle="1">
    <w:name w:val="xl3266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0" w:customStyle="1">
    <w:name w:val="xl3267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color w:val="000000"/>
      <w:spacing w:val="0"/>
      <w:lang w:eastAsia="ru-RU"/>
    </w:rPr>
  </w:style>
  <w:style w:type="paragraph" w:styleId="xl32671" w:customStyle="1">
    <w:name w:val="xl32671"/>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2" w:customStyle="1">
    <w:name w:val="xl3267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3" w:customStyle="1">
    <w:name w:val="xl32673"/>
    <w:basedOn w:val="Normal"/>
    <w:qFormat/>
    <w:rsid w:val="003f3e4c"/>
    <w:pPr>
      <w:widowControl/>
      <w:pBdr>
        <w:top w:val="single" w:sz="4" w:space="0" w:color="000000"/>
        <w:left w:val="single" w:sz="4" w:space="14"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4" w:customStyle="1">
    <w:name w:val="xl32674"/>
    <w:basedOn w:val="Normal"/>
    <w:qFormat/>
    <w:rsid w:val="003f3e4c"/>
    <w:pPr>
      <w:widowControl/>
      <w:pBdr>
        <w:top w:val="single" w:sz="8" w:space="0" w:color="000000"/>
        <w:left w:val="single" w:sz="4" w:space="0" w:color="000000"/>
        <w:bottom w:val="single" w:sz="8" w:space="0" w:color="000000"/>
        <w:right w:val="single" w:sz="4" w:space="0" w:color="000000"/>
      </w:pBdr>
      <w:shd w:val="clear" w:color="000000" w:fill="99336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32675" w:customStyle="1">
    <w:name w:val="xl32675"/>
    <w:basedOn w:val="Normal"/>
    <w:qFormat/>
    <w:rsid w:val="003f3e4c"/>
    <w:pPr>
      <w:widowControl/>
      <w:pBdr>
        <w:top w:val="single" w:sz="8" w:space="0" w:color="000000"/>
        <w:bottom w:val="single" w:sz="8" w:space="0" w:color="000000"/>
        <w:right w:val="single" w:sz="4" w:space="0" w:color="000000"/>
      </w:pBdr>
      <w:shd w:val="clear" w:color="000000" w:fill="99336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32676" w:customStyle="1">
    <w:name w:val="xl32676"/>
    <w:basedOn w:val="Normal"/>
    <w:qFormat/>
    <w:rsid w:val="003f3e4c"/>
    <w:pPr>
      <w:widowControl/>
      <w:pBdr>
        <w:top w:val="single" w:sz="8" w:space="0" w:color="000000"/>
        <w:left w:val="single" w:sz="4" w:space="0" w:color="000000"/>
        <w:bottom w:val="single" w:sz="8" w:space="0" w:color="000000"/>
        <w:right w:val="single" w:sz="4" w:space="0" w:color="000000"/>
      </w:pBdr>
      <w:shd w:val="clear" w:color="000000" w:fill="993366"/>
      <w:spacing w:beforeAutospacing="1" w:afterAutospacing="1"/>
      <w:ind w:hanging="0"/>
      <w:jc w:val="center"/>
      <w:textAlignment w:val="center"/>
    </w:pPr>
    <w:rPr>
      <w:rFonts w:eastAsia="Times New Roman" w:cs="Arial"/>
      <w:b/>
      <w:bCs/>
      <w:color w:val="FFFFFF"/>
      <w:spacing w:val="0"/>
      <w:sz w:val="28"/>
      <w:szCs w:val="28"/>
      <w:lang w:eastAsia="ru-RU"/>
    </w:rPr>
  </w:style>
  <w:style w:type="paragraph" w:styleId="xl32677" w:customStyle="1">
    <w:name w:val="xl32677"/>
    <w:basedOn w:val="Normal"/>
    <w:qFormat/>
    <w:rsid w:val="003f3e4c"/>
    <w:pPr>
      <w:widowControl/>
      <w:pBdr>
        <w:top w:val="single" w:sz="8" w:space="0" w:color="000000"/>
        <w:left w:val="single" w:sz="8" w:space="0" w:color="000000"/>
        <w:bottom w:val="single" w:sz="8" w:space="0" w:color="000000"/>
        <w:right w:val="single" w:sz="4" w:space="0" w:color="000000"/>
      </w:pBdr>
      <w:shd w:val="clear" w:color="000000" w:fill="993366"/>
      <w:spacing w:beforeAutospacing="1" w:afterAutospacing="1"/>
      <w:ind w:hanging="0"/>
      <w:jc w:val="left"/>
      <w:textAlignment w:val="center"/>
    </w:pPr>
    <w:rPr>
      <w:rFonts w:eastAsia="Times New Roman" w:cs="Arial"/>
      <w:b/>
      <w:bCs/>
      <w:color w:val="FFFFFF"/>
      <w:spacing w:val="0"/>
      <w:sz w:val="24"/>
      <w:szCs w:val="24"/>
      <w:lang w:eastAsia="ru-RU"/>
    </w:rPr>
  </w:style>
  <w:style w:type="paragraph" w:styleId="xl32678" w:customStyle="1">
    <w:name w:val="xl32678"/>
    <w:basedOn w:val="Normal"/>
    <w:qFormat/>
    <w:rsid w:val="003f3e4c"/>
    <w:pPr>
      <w:widowControl/>
      <w:pBdr>
        <w:top w:val="single" w:sz="4" w:space="0" w:color="000000"/>
        <w:left w:val="single" w:sz="4" w:space="27"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9" w:customStyle="1">
    <w:name w:val="xl3267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0" w:customStyle="1">
    <w:name w:val="xl3268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1" w:customStyle="1">
    <w:name w:val="xl32681"/>
    <w:basedOn w:val="Normal"/>
    <w:qFormat/>
    <w:rsid w:val="003f3e4c"/>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2" w:customStyle="1">
    <w:name w:val="xl32682"/>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3" w:customStyle="1">
    <w:name w:val="xl3268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center"/>
      <w:textAlignment w:val="auto"/>
    </w:pPr>
    <w:rPr>
      <w:rFonts w:eastAsia="Times New Roman" w:cs="Arial"/>
      <w:color w:val="000000"/>
      <w:spacing w:val="0"/>
      <w:lang w:eastAsia="ru-RU"/>
    </w:rPr>
  </w:style>
  <w:style w:type="paragraph" w:styleId="xl32684" w:customStyle="1">
    <w:name w:val="xl32684"/>
    <w:basedOn w:val="Normal"/>
    <w:qFormat/>
    <w:rsid w:val="003f3e4c"/>
    <w:pPr>
      <w:widowControl/>
      <w:pBdr>
        <w:top w:val="single" w:sz="4" w:space="0" w:color="000000"/>
        <w:left w:val="single" w:sz="4" w:space="14"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5" w:customStyle="1">
    <w:name w:val="xl3268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6" w:customStyle="1">
    <w:name w:val="xl32686"/>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7" w:customStyle="1">
    <w:name w:val="xl32687"/>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lang w:eastAsia="ru-RU"/>
    </w:rPr>
  </w:style>
  <w:style w:type="paragraph" w:styleId="xl32688" w:customStyle="1">
    <w:name w:val="xl32688"/>
    <w:basedOn w:val="Normal"/>
    <w:qFormat/>
    <w:rsid w:val="003f3e4c"/>
    <w:pPr>
      <w:widowControl/>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89" w:customStyle="1">
    <w:name w:val="xl32689"/>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0" w:customStyle="1">
    <w:name w:val="xl3269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auto"/>
    </w:pPr>
    <w:rPr>
      <w:rFonts w:eastAsia="Times New Roman" w:cs="Arial"/>
      <w:color w:val="000000"/>
      <w:spacing w:val="0"/>
      <w:lang w:eastAsia="ru-RU"/>
    </w:rPr>
  </w:style>
  <w:style w:type="paragraph" w:styleId="xl32691" w:customStyle="1">
    <w:name w:val="xl3269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2" w:customStyle="1">
    <w:name w:val="xl32692"/>
    <w:basedOn w:val="Normal"/>
    <w:qFormat/>
    <w:rsid w:val="003f3e4c"/>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93" w:customStyle="1">
    <w:name w:val="xl32693"/>
    <w:basedOn w:val="Normal"/>
    <w:qFormat/>
    <w:rsid w:val="003f3e4c"/>
    <w:pPr>
      <w:widowControl/>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4" w:customStyle="1">
    <w:name w:val="xl32694"/>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5" w:customStyle="1">
    <w:name w:val="xl3269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center"/>
    </w:pPr>
    <w:rPr>
      <w:rFonts w:eastAsia="Times New Roman" w:cs="Arial"/>
      <w:color w:val="000000"/>
      <w:spacing w:val="0"/>
      <w:lang w:eastAsia="ru-RU"/>
    </w:rPr>
  </w:style>
  <w:style w:type="paragraph" w:styleId="xl32696" w:customStyle="1">
    <w:name w:val="xl32696"/>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7" w:customStyle="1">
    <w:name w:val="xl32697"/>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8" w:customStyle="1">
    <w:name w:val="xl32698"/>
    <w:basedOn w:val="Normal"/>
    <w:qFormat/>
    <w:rsid w:val="003f3e4c"/>
    <w:pPr>
      <w:widowControl/>
      <w:pBdr>
        <w:top w:val="single" w:sz="4" w:space="0" w:color="000000"/>
        <w:left w:val="single" w:sz="4" w:space="27"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699" w:customStyle="1">
    <w:name w:val="xl32699"/>
    <w:basedOn w:val="Normal"/>
    <w:qFormat/>
    <w:rsid w:val="003f3e4c"/>
    <w:pPr>
      <w:widowControl/>
      <w:spacing w:beforeAutospacing="1" w:afterAutospacing="1"/>
      <w:ind w:hanging="0"/>
      <w:jc w:val="center"/>
      <w:textAlignment w:val="center"/>
    </w:pPr>
    <w:rPr>
      <w:rFonts w:eastAsia="Times New Roman" w:cs="Arial"/>
      <w:color w:val="000000"/>
      <w:spacing w:val="0"/>
      <w:lang w:eastAsia="ru-RU"/>
    </w:rPr>
  </w:style>
  <w:style w:type="paragraph" w:styleId="xl32700" w:customStyle="1">
    <w:name w:val="xl3270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color w:val="000000"/>
      <w:spacing w:val="0"/>
      <w:lang w:eastAsia="ru-RU"/>
    </w:rPr>
  </w:style>
  <w:style w:type="paragraph" w:styleId="xl32701" w:customStyle="1">
    <w:name w:val="xl3270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000"/>
      <w:spacing w:beforeAutospacing="1" w:afterAutospacing="1"/>
      <w:ind w:hanging="0"/>
      <w:jc w:val="center"/>
      <w:textAlignment w:val="center"/>
    </w:pPr>
    <w:rPr>
      <w:rFonts w:eastAsia="Times New Roman" w:cs="Arial"/>
      <w:color w:val="000000"/>
      <w:spacing w:val="0"/>
      <w:lang w:eastAsia="ru-RU"/>
    </w:rPr>
  </w:style>
  <w:style w:type="paragraph" w:styleId="xl32702" w:customStyle="1">
    <w:name w:val="xl3270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color w:val="000000"/>
      <w:spacing w:val="0"/>
      <w:lang w:eastAsia="ru-RU"/>
    </w:rPr>
  </w:style>
  <w:style w:type="paragraph" w:styleId="xl32703" w:customStyle="1">
    <w:name w:val="xl3270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b/>
      <w:bCs/>
      <w:spacing w:val="0"/>
      <w:lang w:eastAsia="ru-RU"/>
    </w:rPr>
  </w:style>
  <w:style w:type="paragraph" w:styleId="xl32704" w:customStyle="1">
    <w:name w:val="xl32704"/>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auto"/>
    </w:pPr>
    <w:rPr>
      <w:rFonts w:eastAsia="Times New Roman" w:cs="Arial"/>
      <w:spacing w:val="0"/>
      <w:lang w:eastAsia="ru-RU"/>
    </w:rPr>
  </w:style>
  <w:style w:type="paragraph" w:styleId="xl32705" w:customStyle="1">
    <w:name w:val="xl3270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spacing w:val="0"/>
      <w:lang w:eastAsia="ru-RU"/>
    </w:rPr>
  </w:style>
  <w:style w:type="paragraph" w:styleId="xl32706" w:customStyle="1">
    <w:name w:val="xl32706"/>
    <w:basedOn w:val="Normal"/>
    <w:qFormat/>
    <w:rsid w:val="003f3e4c"/>
    <w:pPr>
      <w:widowControl/>
      <w:shd w:val="clear" w:color="000000" w:fill="FFCC99"/>
      <w:spacing w:beforeAutospacing="1" w:afterAutospacing="1"/>
      <w:ind w:hanging="0"/>
      <w:jc w:val="left"/>
      <w:textAlignment w:val="auto"/>
    </w:pPr>
    <w:rPr>
      <w:rFonts w:eastAsia="Times New Roman" w:cs="Arial"/>
      <w:spacing w:val="0"/>
      <w:lang w:eastAsia="ru-RU"/>
    </w:rPr>
  </w:style>
  <w:style w:type="paragraph" w:styleId="xl32707" w:customStyle="1">
    <w:name w:val="xl32707"/>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708" w:customStyle="1">
    <w:name w:val="xl32708"/>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09" w:customStyle="1">
    <w:name w:val="xl32709"/>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ind w:hanging="0"/>
      <w:jc w:val="left"/>
      <w:textAlignment w:val="auto"/>
    </w:pPr>
    <w:rPr>
      <w:rFonts w:eastAsia="Times New Roman" w:cs="Arial"/>
      <w:color w:val="000000"/>
      <w:spacing w:val="0"/>
      <w:lang w:eastAsia="ru-RU"/>
    </w:rPr>
  </w:style>
  <w:style w:type="paragraph" w:styleId="xl32710" w:customStyle="1">
    <w:name w:val="xl3271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11" w:customStyle="1">
    <w:name w:val="xl3271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ind w:hanging="0"/>
      <w:jc w:val="left"/>
      <w:textAlignment w:val="auto"/>
    </w:pPr>
    <w:rPr>
      <w:rFonts w:eastAsia="Times New Roman" w:cs="Arial"/>
      <w:color w:val="000000"/>
      <w:spacing w:val="0"/>
      <w:lang w:eastAsia="ru-RU"/>
    </w:rPr>
  </w:style>
  <w:style w:type="paragraph" w:styleId="xl32712" w:customStyle="1">
    <w:name w:val="xl3271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color w:val="000000"/>
      <w:spacing w:val="0"/>
      <w:lang w:eastAsia="ru-RU"/>
    </w:rPr>
  </w:style>
  <w:style w:type="paragraph" w:styleId="xl32713" w:customStyle="1">
    <w:name w:val="xl32713"/>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color w:val="000000"/>
      <w:spacing w:val="0"/>
      <w:lang w:eastAsia="ru-RU"/>
    </w:rPr>
  </w:style>
  <w:style w:type="paragraph" w:styleId="xl32714" w:customStyle="1">
    <w:name w:val="xl32714"/>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color w:val="000000"/>
      <w:spacing w:val="0"/>
      <w:lang w:eastAsia="ru-RU"/>
    </w:rPr>
  </w:style>
  <w:style w:type="paragraph" w:styleId="xl32715" w:customStyle="1">
    <w:name w:val="xl32715"/>
    <w:basedOn w:val="Normal"/>
    <w:qFormat/>
    <w:rsid w:val="003f3e4c"/>
    <w:pPr>
      <w:widowControl/>
      <w:spacing w:beforeAutospacing="1" w:afterAutospacing="1"/>
      <w:ind w:hanging="0"/>
      <w:jc w:val="left"/>
      <w:textAlignment w:val="auto"/>
    </w:pPr>
    <w:rPr>
      <w:rFonts w:eastAsia="Times New Roman" w:cs="Arial"/>
      <w:b/>
      <w:bCs/>
      <w:color w:val="000000"/>
      <w:spacing w:val="0"/>
      <w:lang w:eastAsia="ru-RU"/>
    </w:rPr>
  </w:style>
  <w:style w:type="paragraph" w:styleId="xl32716" w:customStyle="1">
    <w:name w:val="xl32716"/>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717" w:customStyle="1">
    <w:name w:val="xl32717"/>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18" w:customStyle="1">
    <w:name w:val="xl32718"/>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center"/>
    </w:pPr>
    <w:rPr>
      <w:rFonts w:eastAsia="Times New Roman" w:cs="Arial"/>
      <w:color w:val="000000"/>
      <w:spacing w:val="0"/>
      <w:lang w:eastAsia="ru-RU"/>
    </w:rPr>
  </w:style>
  <w:style w:type="paragraph" w:styleId="xl32719" w:customStyle="1">
    <w:name w:val="xl3271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720" w:customStyle="1">
    <w:name w:val="xl3272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721" w:customStyle="1">
    <w:name w:val="xl3272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22" w:customStyle="1">
    <w:name w:val="xl3272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723" w:customStyle="1">
    <w:name w:val="xl3272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center"/>
    </w:pPr>
    <w:rPr>
      <w:rFonts w:eastAsia="Times New Roman" w:cs="Arial"/>
      <w:color w:val="000000"/>
      <w:spacing w:val="0"/>
      <w:lang w:eastAsia="ru-RU"/>
    </w:rPr>
  </w:style>
  <w:style w:type="paragraph" w:styleId="xl32724" w:customStyle="1">
    <w:name w:val="xl32724"/>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xl32725" w:customStyle="1">
    <w:name w:val="xl32725"/>
    <w:basedOn w:val="Normal"/>
    <w:qFormat/>
    <w:rsid w:val="00771e1b"/>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xl32726" w:customStyle="1">
    <w:name w:val="xl32726"/>
    <w:basedOn w:val="Normal"/>
    <w:qFormat/>
    <w:rsid w:val="00771e1b"/>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user1" w:customStyle="1">
    <w:name w:val="Рисунок (user)"/>
    <w:basedOn w:val="Caption"/>
    <w:link w:val="Style26"/>
    <w:qFormat/>
    <w:rsid w:val="002c0507"/>
    <w:pPr>
      <w:spacing w:before="0" w:after="180"/>
      <w:jc w:val="center"/>
    </w:pPr>
    <w:rPr>
      <w:rFonts w:ascii="Arial" w:hAnsi="Arial"/>
      <w:sz w:val="18"/>
      <w:szCs w:val="18"/>
    </w:rPr>
  </w:style>
  <w:style w:type="paragraph" w:styleId="ConsPlusTitle" w:customStyle="1">
    <w:name w:val="ConsPlusTitle"/>
    <w:qFormat/>
    <w:rsid w:val="00964952"/>
    <w:pPr>
      <w:widowControl w:val="false"/>
      <w:suppressAutoHyphens w:val="true"/>
      <w:bidi w:val="0"/>
      <w:spacing w:before="0" w:after="0"/>
      <w:jc w:val="left"/>
    </w:pPr>
    <w:rPr>
      <w:rFonts w:eastAsia="Arial" w:ascii="Times New Roman" w:hAnsi="Times New Roman" w:cs="Times New Roman"/>
      <w:b/>
      <w:bCs/>
      <w:color w:val="auto"/>
      <w:kern w:val="0"/>
      <w:sz w:val="24"/>
      <w:szCs w:val="24"/>
      <w:lang w:eastAsia="ar-SA" w:val="ru-RU" w:bidi="ar-SA"/>
    </w:rPr>
  </w:style>
  <w:style w:type="paragraph" w:styleId="115" w:customStyle="1">
    <w:name w:val="Указатель1"/>
    <w:basedOn w:val="Normal"/>
    <w:qFormat/>
    <w:rsid w:val="00964952"/>
    <w:pPr>
      <w:widowControl/>
      <w:suppressLineNumbers/>
      <w:suppressAutoHyphens w:val="true"/>
      <w:spacing w:before="0" w:after="0"/>
      <w:ind w:hanging="0"/>
      <w:jc w:val="left"/>
      <w:textAlignment w:val="auto"/>
    </w:pPr>
    <w:rPr>
      <w:rFonts w:ascii="Times New Roman" w:hAnsi="Times New Roman" w:eastAsia="Times New Roman" w:cs="Tahoma"/>
      <w:spacing w:val="0"/>
      <w:sz w:val="24"/>
      <w:szCs w:val="24"/>
      <w:lang w:eastAsia="ar-SA"/>
    </w:rPr>
  </w:style>
  <w:style w:type="paragraph" w:styleId="ChapterSubtitle" w:customStyle="1">
    <w:name w:val="Chapter Subtitle"/>
    <w:basedOn w:val="Subtitle"/>
    <w:qFormat/>
    <w:rsid w:val="00964952"/>
    <w:pPr>
      <w:keepNext w:val="true"/>
      <w:keepLines/>
      <w:widowControl w:val="false"/>
      <w:spacing w:lineRule="auto" w:line="240" w:before="60" w:after="120"/>
      <w:ind w:firstLine="709"/>
      <w:jc w:val="both"/>
      <w:textAlignment w:val="baseline"/>
    </w:pPr>
    <w:rPr>
      <w:rFonts w:ascii="Arial" w:hAnsi="Arial" w:eastAsia="Times New Roman" w:cs="Times New Roman"/>
      <w:b/>
      <w:i w:val="false"/>
      <w:iCs w:val="false"/>
      <w:color w:val="auto"/>
      <w:spacing w:val="-16"/>
      <w:kern w:val="2"/>
      <w:sz w:val="32"/>
      <w:szCs w:val="28"/>
      <w:lang w:eastAsia="en-US"/>
    </w:rPr>
  </w:style>
  <w:style w:type="paragraph" w:styleId="Subtitle">
    <w:name w:val="Subtitle"/>
    <w:basedOn w:val="Normal"/>
    <w:next w:val="Normal"/>
    <w:link w:val="Style27"/>
    <w:qFormat/>
    <w:rsid w:val="00964952"/>
    <w:pPr>
      <w:widowControl/>
      <w:spacing w:lineRule="auto" w:line="312" w:before="0" w:after="0"/>
      <w:ind w:firstLine="567"/>
      <w:jc w:val="left"/>
      <w:textAlignment w:val="auto"/>
    </w:pPr>
    <w:rPr>
      <w:rFonts w:ascii="Cambria" w:hAnsi="Cambria" w:eastAsia="" w:cs="" w:asciiTheme="majorHAnsi" w:cstheme="majorBidi" w:eastAsiaTheme="majorEastAsia" w:hAnsiTheme="majorHAnsi"/>
      <w:i/>
      <w:iCs/>
      <w:color w:themeColor="accent1" w:val="4F81BD"/>
      <w:spacing w:val="15"/>
      <w:sz w:val="24"/>
      <w:szCs w:val="24"/>
      <w:lang w:eastAsia="ru-RU"/>
    </w:rPr>
  </w:style>
  <w:style w:type="paragraph" w:styleId="Style39" w:customStyle="1">
    <w:name w:val="Знак Знак Знак Знак Знак Знак Знак"/>
    <w:basedOn w:val="Normal"/>
    <w:qFormat/>
    <w:rsid w:val="00964952"/>
    <w:pPr>
      <w:widowControl/>
      <w:spacing w:beforeAutospacing="1" w:afterAutospacing="1"/>
      <w:ind w:hanging="0"/>
      <w:jc w:val="left"/>
      <w:textAlignment w:val="auto"/>
    </w:pPr>
    <w:rPr>
      <w:rFonts w:ascii="Tahoma" w:hAnsi="Tahoma" w:eastAsia="Times New Roman"/>
      <w:spacing w:val="0"/>
      <w:sz w:val="20"/>
      <w:szCs w:val="20"/>
      <w:lang w:val="en-US"/>
    </w:rPr>
  </w:style>
  <w:style w:type="paragraph" w:styleId="ConsPlusCell" w:customStyle="1">
    <w:name w:val="ConsPlusCell"/>
    <w:qFormat/>
    <w:rsid w:val="00964952"/>
    <w:pPr>
      <w:widowControl w:val="false"/>
      <w:bidi w:val="0"/>
      <w:spacing w:before="0" w:after="0"/>
      <w:jc w:val="left"/>
    </w:pPr>
    <w:rPr>
      <w:rFonts w:ascii="Arial" w:hAnsi="Arial" w:cs="Arial" w:eastAsia="Times New Roman"/>
      <w:color w:val="auto"/>
      <w:kern w:val="0"/>
      <w:sz w:val="20"/>
      <w:szCs w:val="20"/>
      <w:lang w:val="ru-RU" w:eastAsia="ru-RU" w:bidi="ar-SA"/>
    </w:rPr>
  </w:style>
  <w:style w:type="paragraph" w:styleId="xl2073" w:customStyle="1">
    <w:name w:val="xl2073"/>
    <w:basedOn w:val="Normal"/>
    <w:qFormat/>
    <w:rsid w:val="006501ca"/>
    <w:pPr>
      <w:widowControl/>
      <w:spacing w:beforeAutospacing="1" w:afterAutospacing="1"/>
      <w:ind w:hanging="0"/>
      <w:jc w:val="left"/>
      <w:textAlignment w:val="auto"/>
    </w:pPr>
    <w:rPr>
      <w:rFonts w:eastAsia="Times New Roman" w:cs="Arial"/>
      <w:spacing w:val="0"/>
      <w:sz w:val="16"/>
      <w:szCs w:val="16"/>
      <w:lang w:eastAsia="ru-RU"/>
    </w:rPr>
  </w:style>
  <w:style w:type="paragraph" w:styleId="xl2500" w:customStyle="1">
    <w:name w:val="xl2500"/>
    <w:basedOn w:val="Normal"/>
    <w:qFormat/>
    <w:rsid w:val="006501ca"/>
    <w:pPr>
      <w:widowControl/>
      <w:pBdr>
        <w:top w:val="single" w:sz="4" w:space="0" w:color="808080"/>
        <w:left w:val="single" w:sz="4" w:space="6" w:color="808080"/>
        <w:bottom w:val="single" w:sz="4" w:space="0" w:color="808080"/>
        <w:right w:val="single" w:sz="4" w:space="0" w:color="808080"/>
      </w:pBdr>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124" w:customStyle="1">
    <w:name w:val="xl212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480" w:customStyle="1">
    <w:name w:val="xl2480"/>
    <w:basedOn w:val="Normal"/>
    <w:qFormat/>
    <w:rsid w:val="006501ca"/>
    <w:pPr>
      <w:widowControl/>
      <w:pBdr>
        <w:top w:val="single" w:sz="4" w:space="0" w:color="808080"/>
        <w:bottom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16" w:customStyle="1">
    <w:name w:val="xl211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474" w:customStyle="1">
    <w:name w:val="xl2474"/>
    <w:basedOn w:val="Normal"/>
    <w:qFormat/>
    <w:rsid w:val="006501ca"/>
    <w:pPr>
      <w:widowControl/>
      <w:pBdr>
        <w:top w:val="single" w:sz="4" w:space="0" w:color="808080"/>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79" w:customStyle="1">
    <w:name w:val="xl2479"/>
    <w:basedOn w:val="Normal"/>
    <w:qFormat/>
    <w:rsid w:val="006501ca"/>
    <w:pPr>
      <w:widowControl/>
      <w:pBdr>
        <w:top w:val="single" w:sz="4" w:space="0" w:color="808080"/>
        <w:left w:val="single" w:sz="4" w:space="0" w:color="808080"/>
        <w:bottom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22" w:customStyle="1">
    <w:name w:val="xl212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077" w:customStyle="1">
    <w:name w:val="xl2077"/>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6"/>
      <w:szCs w:val="16"/>
      <w:lang w:eastAsia="ru-RU"/>
    </w:rPr>
  </w:style>
  <w:style w:type="paragraph" w:styleId="xl2117" w:customStyle="1">
    <w:name w:val="xl2117"/>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15" w:customStyle="1">
    <w:name w:val="xl211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82" w:customStyle="1">
    <w:name w:val="xl2082"/>
    <w:basedOn w:val="Normal"/>
    <w:qFormat/>
    <w:rsid w:val="006501ca"/>
    <w:pPr>
      <w:widowControl/>
      <w:spacing w:beforeAutospacing="1" w:afterAutospacing="1"/>
      <w:ind w:hanging="0"/>
      <w:jc w:val="center"/>
      <w:textAlignment w:val="center"/>
    </w:pPr>
    <w:rPr>
      <w:rFonts w:eastAsia="Times New Roman" w:cs="Arial"/>
      <w:spacing w:val="0"/>
      <w:sz w:val="16"/>
      <w:szCs w:val="16"/>
      <w:lang w:eastAsia="ru-RU"/>
    </w:rPr>
  </w:style>
  <w:style w:type="paragraph" w:styleId="xl2497" w:customStyle="1">
    <w:name w:val="xl2497"/>
    <w:basedOn w:val="Normal"/>
    <w:qFormat/>
    <w:rsid w:val="006501ca"/>
    <w:pPr>
      <w:widowControl/>
      <w:pBdr>
        <w:top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12" w:customStyle="1">
    <w:name w:val="xl2112"/>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78" w:customStyle="1">
    <w:name w:val="xl2478"/>
    <w:basedOn w:val="Normal"/>
    <w:qFormat/>
    <w:rsid w:val="006501ca"/>
    <w:pPr>
      <w:widowControl/>
      <w:pBdr>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82" w:customStyle="1">
    <w:name w:val="xl248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076" w:customStyle="1">
    <w:name w:val="xl2076"/>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6"/>
      <w:szCs w:val="16"/>
      <w:lang w:eastAsia="ru-RU"/>
    </w:rPr>
  </w:style>
  <w:style w:type="paragraph" w:styleId="xl2502" w:customStyle="1">
    <w:name w:val="xl2502"/>
    <w:basedOn w:val="Normal"/>
    <w:qFormat/>
    <w:rsid w:val="006501ca"/>
    <w:pPr>
      <w:widowControl/>
      <w:pBdr>
        <w:top w:val="single" w:sz="4" w:space="0" w:color="808080"/>
        <w:left w:val="single" w:sz="4" w:space="6" w:color="808080"/>
        <w:bottom w:val="single" w:sz="4" w:space="0" w:color="808080"/>
        <w:right w:val="single" w:sz="4" w:space="0" w:color="808080"/>
      </w:pBdr>
      <w:spacing w:beforeAutospacing="1" w:afterAutospacing="1"/>
      <w:ind w:hanging="0"/>
      <w:jc w:val="left"/>
      <w:textAlignment w:val="center"/>
    </w:pPr>
    <w:rPr>
      <w:rFonts w:ascii="Tahoma" w:hAnsi="Tahoma" w:eastAsia="Times New Roman" w:cs="Tahoma"/>
      <w:color w:val="000000"/>
      <w:spacing w:val="0"/>
      <w:sz w:val="18"/>
      <w:szCs w:val="18"/>
      <w:lang w:eastAsia="ru-RU"/>
    </w:rPr>
  </w:style>
  <w:style w:type="paragraph" w:styleId="xl2483" w:customStyle="1">
    <w:name w:val="xl248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81" w:customStyle="1">
    <w:name w:val="xl2481"/>
    <w:basedOn w:val="Normal"/>
    <w:qFormat/>
    <w:rsid w:val="006501ca"/>
    <w:pPr>
      <w:widowControl/>
      <w:pBdr>
        <w:top w:val="single" w:sz="4" w:space="0" w:color="808080"/>
        <w:bottom w:val="single" w:sz="4" w:space="0" w:color="808080"/>
        <w:right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515" w:customStyle="1">
    <w:name w:val="xl251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7" w:customStyle="1">
    <w:name w:val="xl2097"/>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526" w:customStyle="1">
    <w:name w:val="xl252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79" w:customStyle="1">
    <w:name w:val="xl2079"/>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519" w:customStyle="1">
    <w:name w:val="xl2519"/>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color w:val="FF0000"/>
      <w:spacing w:val="0"/>
      <w:sz w:val="18"/>
      <w:szCs w:val="18"/>
      <w:lang w:eastAsia="ru-RU"/>
    </w:rPr>
  </w:style>
  <w:style w:type="paragraph" w:styleId="xl2093" w:customStyle="1">
    <w:name w:val="xl209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b/>
      <w:bCs/>
      <w:spacing w:val="0"/>
      <w:sz w:val="16"/>
      <w:szCs w:val="16"/>
      <w:lang w:eastAsia="ru-RU"/>
    </w:rPr>
  </w:style>
  <w:style w:type="paragraph" w:styleId="xl2516" w:customStyle="1">
    <w:name w:val="xl2516"/>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078" w:customStyle="1">
    <w:name w:val="xl207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6"/>
      <w:szCs w:val="16"/>
      <w:lang w:eastAsia="ru-RU"/>
    </w:rPr>
  </w:style>
  <w:style w:type="paragraph" w:styleId="xl2080" w:customStyle="1">
    <w:name w:val="xl2080"/>
    <w:basedOn w:val="Normal"/>
    <w:qFormat/>
    <w:rsid w:val="006501ca"/>
    <w:pPr>
      <w:widowControl/>
      <w:spacing w:beforeAutospacing="1" w:afterAutospacing="1"/>
      <w:ind w:hanging="0"/>
      <w:jc w:val="left"/>
      <w:textAlignment w:val="auto"/>
    </w:pPr>
    <w:rPr>
      <w:rFonts w:eastAsia="Times New Roman" w:cs="Arial"/>
      <w:b/>
      <w:bCs/>
      <w:spacing w:val="0"/>
      <w:sz w:val="16"/>
      <w:szCs w:val="16"/>
      <w:lang w:eastAsia="ru-RU"/>
    </w:rPr>
  </w:style>
  <w:style w:type="paragraph" w:styleId="xl2146" w:customStyle="1">
    <w:name w:val="xl2146"/>
    <w:basedOn w:val="Normal"/>
    <w:qFormat/>
    <w:rsid w:val="006501ca"/>
    <w:pPr>
      <w:widowControl/>
      <w:pBdr>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18" w:customStyle="1">
    <w:name w:val="xl2118"/>
    <w:basedOn w:val="Normal"/>
    <w:qFormat/>
    <w:rsid w:val="006501ca"/>
    <w:pPr>
      <w:widowControl/>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20" w:customStyle="1">
    <w:name w:val="xl2520"/>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139" w:customStyle="1">
    <w:name w:val="xl213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Default" w:customStyle="1">
    <w:name w:val="Default"/>
    <w:qFormat/>
    <w:rsid w:val="006501ca"/>
    <w:pPr>
      <w:widowControl/>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xl2098" w:customStyle="1">
    <w:name w:val="xl2098"/>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094" w:customStyle="1">
    <w:name w:val="xl209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06" w:customStyle="1">
    <w:name w:val="xl2106"/>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84" w:customStyle="1">
    <w:name w:val="xl2484"/>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3366FF"/>
      <w:spacing w:val="0"/>
      <w:sz w:val="18"/>
      <w:szCs w:val="18"/>
      <w:lang w:eastAsia="ru-RU"/>
    </w:rPr>
  </w:style>
  <w:style w:type="paragraph" w:styleId="xl2513" w:customStyle="1">
    <w:name w:val="xl2513"/>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116" w:customStyle="1">
    <w:name w:val="Без интервала1"/>
    <w:next w:val="NoSpacing"/>
    <w:uiPriority w:val="1"/>
    <w:qFormat/>
    <w:rsid w:val="006501ca"/>
    <w:pPr>
      <w:widowControl/>
      <w:bidi w:val="0"/>
      <w:spacing w:before="0" w:after="0"/>
      <w:jc w:val="left"/>
    </w:pPr>
    <w:rPr>
      <w:rFonts w:ascii="Calibri" w:hAnsi="Calibri" w:eastAsia="Times New Roman" w:cs="Times New Roman"/>
      <w:color w:val="auto"/>
      <w:kern w:val="0"/>
      <w:sz w:val="22"/>
      <w:szCs w:val="22"/>
      <w:lang w:eastAsia="en-US" w:val="ru-RU" w:bidi="ar-SA"/>
    </w:rPr>
  </w:style>
  <w:style w:type="paragraph" w:styleId="xl2131" w:customStyle="1">
    <w:name w:val="xl213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29" w:customStyle="1">
    <w:name w:val="xl212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87" w:customStyle="1">
    <w:name w:val="xl248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04" w:customStyle="1">
    <w:name w:val="xl210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510" w:customStyle="1">
    <w:name w:val="xl2510"/>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22" w:customStyle="1">
    <w:name w:val="xl2522"/>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72" w:customStyle="1">
    <w:name w:val="xl247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44" w:customStyle="1">
    <w:name w:val="xl214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20" w:customStyle="1">
    <w:name w:val="xl2120"/>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16"/>
      <w:szCs w:val="16"/>
      <w:lang w:eastAsia="ru-RU"/>
    </w:rPr>
  </w:style>
  <w:style w:type="paragraph" w:styleId="xl2081" w:customStyle="1">
    <w:name w:val="xl2081"/>
    <w:basedOn w:val="Normal"/>
    <w:qFormat/>
    <w:rsid w:val="006501ca"/>
    <w:pPr>
      <w:widowControl/>
      <w:spacing w:beforeAutospacing="1" w:afterAutospacing="1"/>
      <w:ind w:hanging="0"/>
      <w:jc w:val="left"/>
      <w:textAlignment w:val="center"/>
    </w:pPr>
    <w:rPr>
      <w:rFonts w:eastAsia="Times New Roman" w:cs="Arial"/>
      <w:spacing w:val="0"/>
      <w:sz w:val="16"/>
      <w:szCs w:val="16"/>
      <w:lang w:eastAsia="ru-RU"/>
    </w:rPr>
  </w:style>
  <w:style w:type="paragraph" w:styleId="xl2495" w:customStyle="1">
    <w:name w:val="xl249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2" w:customStyle="1">
    <w:name w:val="xl2092"/>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6"/>
      <w:szCs w:val="16"/>
      <w:lang w:eastAsia="ru-RU"/>
    </w:rPr>
  </w:style>
  <w:style w:type="paragraph" w:styleId="xl2127" w:customStyle="1">
    <w:name w:val="xl2127"/>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074" w:customStyle="1">
    <w:name w:val="xl207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6"/>
      <w:szCs w:val="16"/>
      <w:lang w:eastAsia="ru-RU"/>
    </w:rPr>
  </w:style>
  <w:style w:type="paragraph" w:styleId="xl2505" w:customStyle="1">
    <w:name w:val="xl250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10" w:customStyle="1">
    <w:name w:val="xl2110"/>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40" w:customStyle="1">
    <w:name w:val="xl2140"/>
    <w:basedOn w:val="Normal"/>
    <w:qFormat/>
    <w:rsid w:val="006501ca"/>
    <w:pPr>
      <w:widowControl/>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100" w:customStyle="1">
    <w:name w:val="xl2100"/>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518" w:customStyle="1">
    <w:name w:val="xl2518"/>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06" w:customStyle="1">
    <w:name w:val="xl2506"/>
    <w:basedOn w:val="Normal"/>
    <w:qFormat/>
    <w:rsid w:val="006501ca"/>
    <w:pPr>
      <w:widowControl/>
      <w:spacing w:beforeAutospacing="1" w:afterAutospacing="1"/>
      <w:ind w:hanging="0"/>
      <w:jc w:val="left"/>
      <w:textAlignment w:val="top"/>
    </w:pPr>
    <w:rPr>
      <w:rFonts w:ascii="Times New Roman" w:hAnsi="Times New Roman" w:eastAsia="Times New Roman"/>
      <w:spacing w:val="0"/>
      <w:sz w:val="24"/>
      <w:szCs w:val="24"/>
      <w:lang w:eastAsia="ru-RU"/>
    </w:rPr>
  </w:style>
  <w:style w:type="paragraph" w:styleId="xl2126" w:customStyle="1">
    <w:name w:val="xl212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02" w:customStyle="1">
    <w:name w:val="xl210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20"/>
      <w:szCs w:val="20"/>
      <w:lang w:eastAsia="ru-RU"/>
    </w:rPr>
  </w:style>
  <w:style w:type="paragraph" w:styleId="xl2492" w:customStyle="1">
    <w:name w:val="xl249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0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494" w:customStyle="1">
    <w:name w:val="xl2494"/>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9" w:customStyle="1">
    <w:name w:val="xl209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45" w:customStyle="1">
    <w:name w:val="xl214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32" w:customStyle="1">
    <w:name w:val="xl213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08" w:customStyle="1">
    <w:name w:val="xl2108"/>
    <w:basedOn w:val="Normal"/>
    <w:qFormat/>
    <w:rsid w:val="006501ca"/>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2499" w:customStyle="1">
    <w:name w:val="xl2499"/>
    <w:basedOn w:val="Normal"/>
    <w:qFormat/>
    <w:rsid w:val="006501ca"/>
    <w:pPr>
      <w:widowControl/>
      <w:pBdr>
        <w:top w:val="single" w:sz="4" w:space="0" w:color="808080"/>
        <w:left w:val="single" w:sz="4" w:space="0" w:color="808080"/>
        <w:bottom w:val="single" w:sz="4" w:space="0" w:color="808080"/>
        <w:right w:val="single" w:sz="4" w:space="0" w:color="808080"/>
      </w:pBdr>
      <w:spacing w:beforeAutospacing="1" w:afterAutospacing="1"/>
      <w:ind w:hanging="0"/>
      <w:jc w:val="center"/>
      <w:textAlignment w:val="center"/>
    </w:pPr>
    <w:rPr>
      <w:rFonts w:ascii="Tahoma" w:hAnsi="Tahoma" w:eastAsia="Times New Roman" w:cs="Tahoma"/>
      <w:color w:val="000000"/>
      <w:spacing w:val="0"/>
      <w:sz w:val="18"/>
      <w:szCs w:val="18"/>
      <w:lang w:eastAsia="ru-RU"/>
    </w:rPr>
  </w:style>
  <w:style w:type="paragraph" w:styleId="xl2475" w:customStyle="1">
    <w:name w:val="xl2475"/>
    <w:basedOn w:val="Normal"/>
    <w:qFormat/>
    <w:rsid w:val="006501ca"/>
    <w:pPr>
      <w:widowControl/>
      <w:pBdr>
        <w:top w:val="single" w:sz="4" w:space="0" w:color="808080"/>
        <w:left w:val="single" w:sz="4" w:space="0" w:color="808080"/>
        <w:bottom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496" w:customStyle="1">
    <w:name w:val="xl249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08" w:customStyle="1">
    <w:name w:val="xl2508"/>
    <w:basedOn w:val="Normal"/>
    <w:qFormat/>
    <w:rsid w:val="006501ca"/>
    <w:pPr>
      <w:widowControl/>
      <w:pBdr>
        <w:top w:val="single" w:sz="4" w:space="0" w:color="808080"/>
        <w:left w:val="single" w:sz="4" w:space="24"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5" w:customStyle="1">
    <w:name w:val="xl209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center"/>
      <w:textAlignment w:val="center"/>
    </w:pPr>
    <w:rPr>
      <w:rFonts w:ascii="Times New Roman" w:hAnsi="Times New Roman" w:eastAsia="Times New Roman"/>
      <w:b/>
      <w:bCs/>
      <w:spacing w:val="0"/>
      <w:sz w:val="20"/>
      <w:szCs w:val="20"/>
      <w:lang w:eastAsia="ru-RU"/>
    </w:rPr>
  </w:style>
  <w:style w:type="paragraph" w:styleId="xl2105" w:customStyle="1">
    <w:name w:val="xl210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075" w:customStyle="1">
    <w:name w:val="xl2075"/>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6"/>
      <w:szCs w:val="16"/>
      <w:lang w:eastAsia="ru-RU"/>
    </w:rPr>
  </w:style>
  <w:style w:type="paragraph" w:styleId="xl2085" w:customStyle="1">
    <w:name w:val="xl2085"/>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03" w:customStyle="1">
    <w:name w:val="xl2503"/>
    <w:basedOn w:val="Normal"/>
    <w:qFormat/>
    <w:rsid w:val="006501ca"/>
    <w:pPr>
      <w:widowControl/>
      <w:pBdr>
        <w:top w:val="single" w:sz="4" w:space="0" w:color="808080"/>
        <w:left w:val="single" w:sz="4" w:space="12" w:color="808080"/>
        <w:bottom w:val="single" w:sz="4" w:space="0" w:color="808080"/>
        <w:right w:val="single" w:sz="4" w:space="0" w:color="808080"/>
      </w:pBdr>
      <w:spacing w:beforeAutospacing="1" w:afterAutospacing="1"/>
      <w:ind w:hanging="0"/>
      <w:jc w:val="left"/>
      <w:textAlignment w:val="center"/>
    </w:pPr>
    <w:rPr>
      <w:rFonts w:ascii="Tahoma" w:hAnsi="Tahoma" w:eastAsia="Times New Roman" w:cs="Tahoma"/>
      <w:color w:val="000000"/>
      <w:spacing w:val="0"/>
      <w:sz w:val="18"/>
      <w:szCs w:val="18"/>
      <w:lang w:eastAsia="ru-RU"/>
    </w:rPr>
  </w:style>
  <w:style w:type="paragraph" w:styleId="xl2504" w:customStyle="1">
    <w:name w:val="xl2504"/>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521" w:customStyle="1">
    <w:name w:val="xl2521"/>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88" w:customStyle="1">
    <w:name w:val="xl208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b/>
      <w:bCs/>
      <w:spacing w:val="0"/>
      <w:sz w:val="16"/>
      <w:szCs w:val="16"/>
      <w:lang w:eastAsia="ru-RU"/>
    </w:rPr>
  </w:style>
  <w:style w:type="paragraph" w:styleId="xl2489" w:customStyle="1">
    <w:name w:val="xl2489"/>
    <w:basedOn w:val="Normal"/>
    <w:qFormat/>
    <w:rsid w:val="006501ca"/>
    <w:pPr>
      <w:widowControl/>
      <w:pBdr>
        <w:top w:val="single" w:sz="4" w:space="0" w:color="808080"/>
        <w:left w:val="single" w:sz="4" w:space="0" w:color="808080"/>
        <w:bottom w:val="single" w:sz="4" w:space="0" w:color="808080"/>
        <w:right w:val="single" w:sz="4" w:space="0" w:color="808080"/>
      </w:pBdr>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498" w:customStyle="1">
    <w:name w:val="xl2498"/>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color w:val="000000"/>
      <w:spacing w:val="0"/>
      <w:sz w:val="18"/>
      <w:szCs w:val="18"/>
      <w:lang w:eastAsia="ru-RU"/>
    </w:rPr>
  </w:style>
  <w:style w:type="paragraph" w:styleId="xl2103" w:customStyle="1">
    <w:name w:val="xl2103"/>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91" w:customStyle="1">
    <w:name w:val="xl249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99"/>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09" w:customStyle="1">
    <w:name w:val="xl2109"/>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16"/>
      <w:szCs w:val="16"/>
      <w:lang w:eastAsia="ru-RU"/>
    </w:rPr>
  </w:style>
  <w:style w:type="paragraph" w:styleId="xl2130" w:customStyle="1">
    <w:name w:val="xl2130"/>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47" w:customStyle="1">
    <w:name w:val="xl2147"/>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35" w:customStyle="1">
    <w:name w:val="xl213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527" w:customStyle="1">
    <w:name w:val="xl252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28" w:customStyle="1">
    <w:name w:val="xl212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514" w:customStyle="1">
    <w:name w:val="xl2514"/>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086" w:customStyle="1">
    <w:name w:val="xl2086"/>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121" w:customStyle="1">
    <w:name w:val="xl2121"/>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09" w:customStyle="1">
    <w:name w:val="xl2509"/>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25" w:customStyle="1">
    <w:name w:val="xl2125"/>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71" w:customStyle="1">
    <w:name w:val="xl247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14" w:customStyle="1">
    <w:name w:val="xl211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b/>
      <w:bCs/>
      <w:color w:val="8064A2"/>
      <w:spacing w:val="0"/>
      <w:sz w:val="20"/>
      <w:szCs w:val="20"/>
      <w:lang w:eastAsia="ru-RU"/>
    </w:rPr>
  </w:style>
  <w:style w:type="paragraph" w:styleId="xl2101" w:customStyle="1">
    <w:name w:val="xl2101"/>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138" w:customStyle="1">
    <w:name w:val="xl2138"/>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font9" w:customStyle="1">
    <w:name w:val="font9"/>
    <w:basedOn w:val="Normal"/>
    <w:qFormat/>
    <w:rsid w:val="006501ca"/>
    <w:pPr>
      <w:widowControl/>
      <w:spacing w:beforeAutospacing="1" w:afterAutospacing="1"/>
      <w:ind w:hanging="0"/>
      <w:jc w:val="left"/>
      <w:textAlignment w:val="auto"/>
    </w:pPr>
    <w:rPr>
      <w:rFonts w:ascii="Calibri" w:hAnsi="Calibri" w:eastAsia="Times New Roman" w:cs="Calibri"/>
      <w:spacing w:val="0"/>
      <w:sz w:val="20"/>
      <w:szCs w:val="20"/>
      <w:lang w:eastAsia="ru-RU"/>
    </w:rPr>
  </w:style>
  <w:style w:type="paragraph" w:styleId="xl2523" w:customStyle="1">
    <w:name w:val="xl2523"/>
    <w:basedOn w:val="Normal"/>
    <w:qFormat/>
    <w:rsid w:val="006501ca"/>
    <w:pPr>
      <w:widowControl/>
      <w:pBdr>
        <w:top w:val="single" w:sz="4" w:space="0" w:color="808080"/>
        <w:left w:val="single" w:sz="4" w:space="0" w:color="808080"/>
        <w:right w:val="single" w:sz="4" w:space="0" w:color="808080"/>
      </w:pBdr>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511" w:customStyle="1">
    <w:name w:val="xl2511"/>
    <w:basedOn w:val="Normal"/>
    <w:qFormat/>
    <w:rsid w:val="006501ca"/>
    <w:pPr>
      <w:widowControl/>
      <w:pBdr>
        <w:top w:val="single" w:sz="4" w:space="0" w:color="808080"/>
        <w:left w:val="single" w:sz="4" w:space="24"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6" w:customStyle="1">
    <w:name w:val="xl2096"/>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119" w:customStyle="1">
    <w:name w:val="xl2119"/>
    <w:basedOn w:val="Normal"/>
    <w:qFormat/>
    <w:rsid w:val="006501ca"/>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2470" w:customStyle="1">
    <w:name w:val="xl2470"/>
    <w:basedOn w:val="Normal"/>
    <w:qFormat/>
    <w:rsid w:val="006501ca"/>
    <w:pPr>
      <w:widowControl/>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36" w:customStyle="1">
    <w:name w:val="xl213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76" w:customStyle="1">
    <w:name w:val="xl2476"/>
    <w:basedOn w:val="Normal"/>
    <w:qFormat/>
    <w:rsid w:val="006501ca"/>
    <w:pPr>
      <w:widowControl/>
      <w:pBdr>
        <w:top w:val="single" w:sz="4" w:space="0" w:color="808080"/>
        <w:bottom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07" w:customStyle="1">
    <w:name w:val="xl2107"/>
    <w:basedOn w:val="Normal"/>
    <w:qFormat/>
    <w:rsid w:val="006501ca"/>
    <w:pPr>
      <w:widowControl/>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25" w:customStyle="1">
    <w:name w:val="xl2525"/>
    <w:basedOn w:val="Normal"/>
    <w:qFormat/>
    <w:rsid w:val="006501ca"/>
    <w:pPr>
      <w:widowControl/>
      <w:pBdr>
        <w:top w:val="single" w:sz="4" w:space="0" w:color="808080"/>
        <w:left w:val="single" w:sz="4" w:space="0" w:color="808080"/>
        <w:right w:val="single" w:sz="4" w:space="0" w:color="808080"/>
      </w:pBdr>
      <w:shd w:val="clear" w:color="000000" w:fill="FFFF0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34" w:customStyle="1">
    <w:name w:val="xl2134"/>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73" w:customStyle="1">
    <w:name w:val="xl247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i/>
      <w:iCs/>
      <w:spacing w:val="0"/>
      <w:sz w:val="18"/>
      <w:szCs w:val="18"/>
      <w:lang w:eastAsia="ru-RU"/>
    </w:rPr>
  </w:style>
  <w:style w:type="paragraph" w:styleId="xl2507" w:customStyle="1">
    <w:name w:val="xl2507"/>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477" w:customStyle="1">
    <w:name w:val="xl2477"/>
    <w:basedOn w:val="Normal"/>
    <w:qFormat/>
    <w:rsid w:val="006501ca"/>
    <w:pPr>
      <w:widowControl/>
      <w:pBdr>
        <w:top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11" w:customStyle="1">
    <w:name w:val="xl211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13" w:customStyle="1">
    <w:name w:val="xl211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084" w:customStyle="1">
    <w:name w:val="xl208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486" w:customStyle="1">
    <w:name w:val="xl248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85" w:customStyle="1">
    <w:name w:val="xl2485"/>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501" w:customStyle="1">
    <w:name w:val="xl250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CCFF"/>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41" w:customStyle="1">
    <w:name w:val="xl214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90" w:customStyle="1">
    <w:name w:val="xl2090"/>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123" w:customStyle="1">
    <w:name w:val="xl2123"/>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43" w:customStyle="1">
    <w:name w:val="xl2143"/>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83" w:customStyle="1">
    <w:name w:val="xl208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091" w:customStyle="1">
    <w:name w:val="xl2091"/>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24" w:customStyle="1">
    <w:name w:val="xl2524"/>
    <w:basedOn w:val="Normal"/>
    <w:qFormat/>
    <w:rsid w:val="006501ca"/>
    <w:pPr>
      <w:widowControl/>
      <w:pBdr>
        <w:top w:val="single" w:sz="4" w:space="0" w:color="808080"/>
        <w:left w:val="single" w:sz="4" w:space="0" w:color="808080"/>
        <w:right w:val="single" w:sz="4" w:space="0" w:color="808080"/>
      </w:pBdr>
      <w:shd w:val="clear" w:color="000000" w:fill="FFFF99"/>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528" w:customStyle="1">
    <w:name w:val="xl2528"/>
    <w:basedOn w:val="Normal"/>
    <w:qFormat/>
    <w:rsid w:val="006501ca"/>
    <w:pPr>
      <w:widowControl/>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17" w:customStyle="1">
    <w:name w:val="xl251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0C0C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37" w:customStyle="1">
    <w:name w:val="xl2137"/>
    <w:basedOn w:val="Normal"/>
    <w:qFormat/>
    <w:rsid w:val="006501ca"/>
    <w:pPr>
      <w:widowControl/>
      <w:pBdr>
        <w:top w:val="single" w:sz="4" w:space="0" w:color="000000"/>
        <w:left w:val="single" w:sz="4" w:space="0" w:color="000000"/>
        <w:bottom w:val="single" w:sz="4" w:space="0" w:color="000000"/>
        <w:right w:val="single" w:sz="4" w:space="23" w:color="000000"/>
      </w:pBdr>
      <w:shd w:val="clear" w:color="000000" w:fill="EAF1DD"/>
      <w:spacing w:beforeAutospacing="1" w:afterAutospacing="1"/>
      <w:ind w:hanging="0"/>
      <w:jc w:val="right"/>
      <w:textAlignment w:val="center"/>
    </w:pPr>
    <w:rPr>
      <w:rFonts w:ascii="Times New Roman" w:hAnsi="Times New Roman" w:eastAsia="Times New Roman"/>
      <w:b/>
      <w:bCs/>
      <w:spacing w:val="0"/>
      <w:sz w:val="20"/>
      <w:szCs w:val="20"/>
      <w:lang w:eastAsia="ru-RU"/>
    </w:rPr>
  </w:style>
  <w:style w:type="paragraph" w:styleId="xl2493" w:customStyle="1">
    <w:name w:val="xl249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087" w:customStyle="1">
    <w:name w:val="xl2087"/>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12" w:customStyle="1">
    <w:name w:val="xl2512"/>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89" w:customStyle="1">
    <w:name w:val="xl2089"/>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142" w:customStyle="1">
    <w:name w:val="xl214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33" w:customStyle="1">
    <w:name w:val="xl213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488" w:customStyle="1">
    <w:name w:val="xl2488"/>
    <w:basedOn w:val="Normal"/>
    <w:qFormat/>
    <w:rsid w:val="006501ca"/>
    <w:pPr>
      <w:widowControl/>
      <w:pBdr>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90" w:customStyle="1">
    <w:name w:val="xl2490"/>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msonormal" w:customStyle="1">
    <w:name w:val="msonormal"/>
    <w:basedOn w:val="Normal"/>
    <w:qFormat/>
    <w:rsid w:val="006501ca"/>
    <w:pPr>
      <w:widowControl/>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58841" w:customStyle="1">
    <w:name w:val="xl58841"/>
    <w:basedOn w:val="Normal"/>
    <w:qFormat/>
    <w:rsid w:val="00ba3b3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8"/>
      <w:szCs w:val="18"/>
      <w:lang w:eastAsia="ru-RU"/>
    </w:rPr>
  </w:style>
  <w:style w:type="paragraph" w:styleId="xl58842" w:customStyle="1">
    <w:name w:val="xl58842"/>
    <w:basedOn w:val="Normal"/>
    <w:qFormat/>
    <w:rsid w:val="00ba3b3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8"/>
      <w:szCs w:val="18"/>
      <w:lang w:eastAsia="ru-RU"/>
    </w:rPr>
  </w:style>
  <w:style w:type="paragraph" w:styleId="Style40" w:customStyle="1">
    <w:name w:val="Верх колонтитул"/>
    <w:basedOn w:val="Header"/>
    <w:link w:val="Style29"/>
    <w:qFormat/>
    <w:rsid w:val="00ba3b39"/>
    <w:pPr>
      <w:numPr>
        <w:ilvl w:val="0"/>
        <w:numId w:val="0"/>
      </w:numPr>
      <w:spacing w:lineRule="auto" w:line="276"/>
      <w:ind w:firstLine="720" w:left="0"/>
      <w:jc w:val="center"/>
    </w:pPr>
    <w:rPr>
      <w:rFonts w:ascii="Arial Narrow" w:hAnsi="Arial Narrow" w:eastAsia="" w:eastAsiaTheme="majorEastAsia"/>
      <w:b/>
      <w:sz w:val="16"/>
    </w:rPr>
  </w:style>
  <w:style w:type="paragraph" w:styleId="Style41" w:customStyle="1">
    <w:name w:val="Нижн колонтитул"/>
    <w:basedOn w:val="Footer"/>
    <w:link w:val="Style30"/>
    <w:qFormat/>
    <w:rsid w:val="00ba3b39"/>
    <w:pP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ind w:firstLine="2"/>
      <w:jc w:val="center"/>
    </w:pPr>
    <w:rPr>
      <w:rFonts w:ascii="Arial" w:hAnsi="Arial" w:cs="Arial"/>
      <w:sz w:val="18"/>
    </w:rPr>
  </w:style>
  <w:style w:type="paragraph" w:styleId="25" w:customStyle="1">
    <w:name w:val="Обыч 2"/>
    <w:basedOn w:val="Normal"/>
    <w:link w:val="24"/>
    <w:qFormat/>
    <w:rsid w:val="00ba3b39"/>
    <w:pPr>
      <w:spacing w:lineRule="auto" w:line="360"/>
    </w:pPr>
    <w:rPr>
      <w:sz w:val="24"/>
      <w:lang w:eastAsia="ru-RU"/>
    </w:rPr>
  </w:style>
  <w:style w:type="paragraph" w:styleId="xl2071" w:customStyle="1">
    <w:name w:val="xl2071"/>
    <w:basedOn w:val="Normal"/>
    <w:qFormat/>
    <w:rsid w:val="00ba3b39"/>
    <w:pPr>
      <w:widowControl/>
      <w:spacing w:beforeAutospacing="1" w:afterAutospacing="1"/>
      <w:ind w:hanging="0"/>
      <w:jc w:val="left"/>
      <w:textAlignment w:val="auto"/>
    </w:pPr>
    <w:rPr>
      <w:rFonts w:eastAsia="Times New Roman" w:cs="Arial"/>
      <w:spacing w:val="0"/>
      <w:sz w:val="20"/>
      <w:szCs w:val="20"/>
      <w:lang w:eastAsia="ru-RU"/>
    </w:rPr>
  </w:style>
  <w:style w:type="paragraph" w:styleId="xl2072" w:customStyle="1">
    <w:name w:val="xl2072"/>
    <w:basedOn w:val="Normal"/>
    <w:qFormat/>
    <w:rsid w:val="00ba3b39"/>
    <w:pPr>
      <w:widowControl/>
      <w:spacing w:beforeAutospacing="1" w:afterAutospacing="1"/>
      <w:ind w:hanging="0"/>
      <w:jc w:val="left"/>
      <w:textAlignment w:val="auto"/>
    </w:pPr>
    <w:rPr>
      <w:rFonts w:eastAsia="Times New Roman" w:cs="Arial"/>
      <w:b/>
      <w:bCs/>
      <w:spacing w:val="0"/>
      <w:sz w:val="20"/>
      <w:szCs w:val="20"/>
      <w:lang w:eastAsia="ru-RU"/>
    </w:rPr>
  </w:style>
  <w:style w:type="paragraph" w:styleId="western" w:customStyle="1">
    <w:name w:val="western"/>
    <w:basedOn w:val="Normal"/>
    <w:qFormat/>
    <w:rsid w:val="00be2dfc"/>
    <w:pPr>
      <w:widowControl/>
      <w:spacing w:lineRule="auto" w:line="276" w:beforeAutospacing="1" w:after="142"/>
      <w:textAlignment w:val="auto"/>
    </w:pPr>
    <w:rPr>
      <w:rFonts w:eastAsia="Times New Roman" w:cs="Arial"/>
      <w:spacing w:val="-6"/>
      <w:sz w:val="24"/>
      <w:szCs w:val="24"/>
      <w:lang w:eastAsia="ru-RU"/>
    </w:rPr>
  </w:style>
  <w:style w:type="paragraph" w:styleId="Style42">
    <w:name w:val="Содержимое таблицы"/>
    <w:basedOn w:val="Normal"/>
    <w:qFormat/>
    <w:pPr/>
    <w:rPr/>
  </w:style>
  <w:style w:type="paragraph" w:styleId="Style43">
    <w:name w:val="Заголовок таблицы"/>
    <w:basedOn w:val="Style42"/>
    <w:qFormat/>
    <w:pPr/>
    <w:rPr/>
  </w:style>
  <w:style w:type="paragraph" w:styleId="Style44">
    <w:name w:val="Рисунок"/>
    <w:basedOn w:val="Caption"/>
    <w:qFormat/>
    <w:pPr/>
    <w:rPr/>
  </w:style>
  <w:style w:type="paragraph" w:styleId="Style45">
    <w:name w:val="Содержимое врезки"/>
    <w:basedOn w:val="Normal"/>
    <w:qFormat/>
    <w:pPr/>
    <w:rPr/>
  </w:style>
  <w:style w:type="paragraph" w:styleId="Style46">
    <w:name w:val="Верхний колонтитул слева"/>
    <w:basedOn w:val="Header"/>
    <w:qFormat/>
    <w:pPr/>
    <w:rPr/>
  </w:style>
  <w:style w:type="numbering" w:styleId="Style47" w:default="1">
    <w:name w:val="Без списка"/>
    <w:uiPriority w:val="99"/>
    <w:semiHidden/>
    <w:unhideWhenUsed/>
    <w:qFormat/>
  </w:style>
  <w:style w:type="numbering" w:styleId="OutlineList2">
    <w:name w:val="Outline List 2"/>
    <w:qFormat/>
    <w:locked/>
    <w:rsid w:val="00f72473"/>
  </w:style>
  <w:style w:type="numbering" w:styleId="117" w:customStyle="1">
    <w:name w:val="Нет списка1"/>
    <w:uiPriority w:val="99"/>
    <w:semiHidden/>
    <w:unhideWhenUsed/>
    <w:qFormat/>
    <w:rsid w:val="00c73384"/>
  </w:style>
  <w:style w:type="numbering" w:styleId="26" w:customStyle="1">
    <w:name w:val="Нет списка2"/>
    <w:uiPriority w:val="99"/>
    <w:semiHidden/>
    <w:unhideWhenUsed/>
    <w:qFormat/>
    <w:rsid w:val="00e756f2"/>
  </w:style>
  <w:style w:type="numbering" w:styleId="111112" w:customStyle="1">
    <w:name w:val="1 / 1.1 / 1.1.2"/>
    <w:unhideWhenUsed/>
    <w:qFormat/>
    <w:locked/>
    <w:rsid w:val="00e756f2"/>
  </w:style>
  <w:style w:type="numbering" w:styleId="33" w:customStyle="1">
    <w:name w:val="Нет списка3"/>
    <w:uiPriority w:val="99"/>
    <w:semiHidden/>
    <w:unhideWhenUsed/>
    <w:qFormat/>
    <w:rsid w:val="00742896"/>
  </w:style>
  <w:style w:type="numbering" w:styleId="111113" w:customStyle="1">
    <w:name w:val="1 / 1.1 / 1.1.3"/>
    <w:unhideWhenUsed/>
    <w:qFormat/>
    <w:rsid w:val="00742896"/>
  </w:style>
  <w:style w:type="numbering" w:styleId="41" w:customStyle="1">
    <w:name w:val="Нет списка4"/>
    <w:uiPriority w:val="99"/>
    <w:semiHidden/>
    <w:unhideWhenUsed/>
    <w:qFormat/>
    <w:rsid w:val="00ae66c6"/>
  </w:style>
  <w:style w:type="numbering" w:styleId="111114" w:customStyle="1">
    <w:name w:val="1 / 1.1 / 1.1.4"/>
    <w:qFormat/>
    <w:locked/>
    <w:rsid w:val="00ae66c6"/>
  </w:style>
  <w:style w:type="numbering" w:styleId="118" w:customStyle="1">
    <w:name w:val="Нет списка11"/>
    <w:uiPriority w:val="99"/>
    <w:semiHidden/>
    <w:unhideWhenUsed/>
    <w:qFormat/>
    <w:rsid w:val="00ae66c6"/>
  </w:style>
  <w:style w:type="numbering" w:styleId="51" w:customStyle="1">
    <w:name w:val="Нет списка5"/>
    <w:uiPriority w:val="99"/>
    <w:semiHidden/>
    <w:unhideWhenUsed/>
    <w:qFormat/>
    <w:rsid w:val="00f87e29"/>
  </w:style>
  <w:style w:type="numbering" w:styleId="111115" w:customStyle="1">
    <w:name w:val="1 / 1.1 / 1.1.5"/>
    <w:qFormat/>
    <w:locked/>
    <w:rsid w:val="00f87e29"/>
  </w:style>
  <w:style w:type="numbering" w:styleId="121" w:customStyle="1">
    <w:name w:val="Нет списка12"/>
    <w:uiPriority w:val="99"/>
    <w:semiHidden/>
    <w:unhideWhenUsed/>
    <w:qFormat/>
    <w:rsid w:val="00f87e29"/>
  </w:style>
  <w:style w:type="numbering" w:styleId="61" w:customStyle="1">
    <w:name w:val="Нет списка6"/>
    <w:uiPriority w:val="99"/>
    <w:semiHidden/>
    <w:unhideWhenUsed/>
    <w:qFormat/>
    <w:rsid w:val="00304d48"/>
  </w:style>
  <w:style w:type="numbering" w:styleId="111116" w:customStyle="1">
    <w:name w:val="1 / 1.1 / 1.1.6"/>
    <w:qFormat/>
    <w:locked/>
    <w:rsid w:val="00304d48"/>
  </w:style>
  <w:style w:type="numbering" w:styleId="131" w:customStyle="1">
    <w:name w:val="Нет списка13"/>
    <w:uiPriority w:val="99"/>
    <w:semiHidden/>
    <w:unhideWhenUsed/>
    <w:qFormat/>
    <w:rsid w:val="00304d48"/>
  </w:style>
  <w:style w:type="numbering" w:styleId="213" w:customStyle="1">
    <w:name w:val="Нет списка21"/>
    <w:uiPriority w:val="99"/>
    <w:semiHidden/>
    <w:unhideWhenUsed/>
    <w:qFormat/>
    <w:rsid w:val="00304d48"/>
  </w:style>
  <w:style w:type="numbering" w:styleId="1111" w:customStyle="1">
    <w:name w:val="Нет списка111"/>
    <w:uiPriority w:val="99"/>
    <w:semiHidden/>
    <w:unhideWhenUsed/>
    <w:qFormat/>
    <w:rsid w:val="00304d48"/>
  </w:style>
  <w:style w:type="numbering" w:styleId="313" w:customStyle="1">
    <w:name w:val="Нет списка31"/>
    <w:uiPriority w:val="99"/>
    <w:semiHidden/>
    <w:unhideWhenUsed/>
    <w:qFormat/>
    <w:rsid w:val="00304d48"/>
  </w:style>
  <w:style w:type="numbering" w:styleId="411" w:customStyle="1">
    <w:name w:val="Нет списка41"/>
    <w:uiPriority w:val="99"/>
    <w:semiHidden/>
    <w:unhideWhenUsed/>
    <w:qFormat/>
    <w:rsid w:val="00304d48"/>
  </w:style>
  <w:style w:type="numbering" w:styleId="511" w:customStyle="1">
    <w:name w:val="Нет списка51"/>
    <w:uiPriority w:val="99"/>
    <w:semiHidden/>
    <w:unhideWhenUsed/>
    <w:qFormat/>
    <w:rsid w:val="00304d48"/>
  </w:style>
  <w:style w:type="numbering" w:styleId="611" w:customStyle="1">
    <w:name w:val="Нет списка61"/>
    <w:uiPriority w:val="99"/>
    <w:semiHidden/>
    <w:unhideWhenUsed/>
    <w:qFormat/>
    <w:rsid w:val="00304d48"/>
  </w:style>
  <w:style w:type="numbering" w:styleId="71" w:customStyle="1">
    <w:name w:val="Нет списка7"/>
    <w:uiPriority w:val="99"/>
    <w:semiHidden/>
    <w:unhideWhenUsed/>
    <w:qFormat/>
    <w:rsid w:val="00304d48"/>
  </w:style>
  <w:style w:type="numbering" w:styleId="81" w:customStyle="1">
    <w:name w:val="Нет списка8"/>
    <w:uiPriority w:val="99"/>
    <w:semiHidden/>
    <w:unhideWhenUsed/>
    <w:qFormat/>
    <w:rsid w:val="00304d48"/>
  </w:style>
  <w:style w:type="numbering" w:styleId="91" w:customStyle="1">
    <w:name w:val="Нет списка9"/>
    <w:uiPriority w:val="99"/>
    <w:semiHidden/>
    <w:unhideWhenUsed/>
    <w:qFormat/>
    <w:rsid w:val="00304d48"/>
  </w:style>
  <w:style w:type="numbering" w:styleId="111117" w:customStyle="1">
    <w:name w:val="1 / 1.1 / 1.1.7"/>
    <w:qFormat/>
    <w:locked/>
    <w:rsid w:val="00304d48"/>
  </w:style>
  <w:style w:type="numbering" w:styleId="141" w:customStyle="1">
    <w:name w:val="Нет списка14"/>
    <w:uiPriority w:val="99"/>
    <w:semiHidden/>
    <w:unhideWhenUsed/>
    <w:qFormat/>
    <w:rsid w:val="00304d48"/>
  </w:style>
  <w:style w:type="numbering" w:styleId="221" w:customStyle="1">
    <w:name w:val="Нет списка22"/>
    <w:uiPriority w:val="99"/>
    <w:semiHidden/>
    <w:unhideWhenUsed/>
    <w:qFormat/>
    <w:rsid w:val="00304d48"/>
  </w:style>
  <w:style w:type="numbering" w:styleId="1121" w:customStyle="1">
    <w:name w:val="Нет списка112"/>
    <w:uiPriority w:val="99"/>
    <w:semiHidden/>
    <w:unhideWhenUsed/>
    <w:qFormat/>
    <w:rsid w:val="00304d48"/>
  </w:style>
  <w:style w:type="numbering" w:styleId="321" w:customStyle="1">
    <w:name w:val="Нет списка32"/>
    <w:uiPriority w:val="99"/>
    <w:semiHidden/>
    <w:unhideWhenUsed/>
    <w:qFormat/>
    <w:rsid w:val="00304d48"/>
  </w:style>
  <w:style w:type="numbering" w:styleId="42" w:customStyle="1">
    <w:name w:val="Нет списка42"/>
    <w:uiPriority w:val="99"/>
    <w:semiHidden/>
    <w:unhideWhenUsed/>
    <w:qFormat/>
    <w:rsid w:val="00304d48"/>
  </w:style>
  <w:style w:type="numbering" w:styleId="52" w:customStyle="1">
    <w:name w:val="Нет списка52"/>
    <w:uiPriority w:val="99"/>
    <w:semiHidden/>
    <w:unhideWhenUsed/>
    <w:qFormat/>
    <w:rsid w:val="00304d48"/>
  </w:style>
  <w:style w:type="numbering" w:styleId="62" w:customStyle="1">
    <w:name w:val="Нет списка62"/>
    <w:uiPriority w:val="99"/>
    <w:semiHidden/>
    <w:unhideWhenUsed/>
    <w:qFormat/>
    <w:rsid w:val="00304d48"/>
  </w:style>
  <w:style w:type="numbering" w:styleId="711" w:customStyle="1">
    <w:name w:val="Нет списка71"/>
    <w:uiPriority w:val="99"/>
    <w:semiHidden/>
    <w:unhideWhenUsed/>
    <w:qFormat/>
    <w:rsid w:val="00304d48"/>
  </w:style>
  <w:style w:type="numbering" w:styleId="811" w:customStyle="1">
    <w:name w:val="Нет списка81"/>
    <w:uiPriority w:val="99"/>
    <w:semiHidden/>
    <w:unhideWhenUsed/>
    <w:qFormat/>
    <w:rsid w:val="00304d48"/>
  </w:style>
  <w:style w:type="numbering" w:styleId="10" w:customStyle="1">
    <w:name w:val="Нет списка10"/>
    <w:uiPriority w:val="99"/>
    <w:semiHidden/>
    <w:unhideWhenUsed/>
    <w:qFormat/>
    <w:rsid w:val="00f342eb"/>
  </w:style>
  <w:style w:type="numbering" w:styleId="111118" w:customStyle="1">
    <w:name w:val="1 / 1.1 / 1.1.8"/>
    <w:qFormat/>
    <w:locked/>
    <w:rsid w:val="00f342eb"/>
  </w:style>
  <w:style w:type="numbering" w:styleId="151" w:customStyle="1">
    <w:name w:val="Нет списка15"/>
    <w:uiPriority w:val="99"/>
    <w:semiHidden/>
    <w:unhideWhenUsed/>
    <w:qFormat/>
    <w:rsid w:val="00f342eb"/>
  </w:style>
  <w:style w:type="numbering" w:styleId="231" w:customStyle="1">
    <w:name w:val="Нет списка23"/>
    <w:uiPriority w:val="99"/>
    <w:semiHidden/>
    <w:unhideWhenUsed/>
    <w:qFormat/>
    <w:rsid w:val="00f342eb"/>
  </w:style>
  <w:style w:type="numbering" w:styleId="1131" w:customStyle="1">
    <w:name w:val="Нет списка113"/>
    <w:uiPriority w:val="99"/>
    <w:semiHidden/>
    <w:unhideWhenUsed/>
    <w:qFormat/>
    <w:rsid w:val="00f342eb"/>
  </w:style>
  <w:style w:type="numbering" w:styleId="331" w:customStyle="1">
    <w:name w:val="Нет списка33"/>
    <w:uiPriority w:val="99"/>
    <w:semiHidden/>
    <w:unhideWhenUsed/>
    <w:qFormat/>
    <w:rsid w:val="00f342eb"/>
  </w:style>
  <w:style w:type="numbering" w:styleId="43" w:customStyle="1">
    <w:name w:val="Нет списка43"/>
    <w:uiPriority w:val="99"/>
    <w:semiHidden/>
    <w:unhideWhenUsed/>
    <w:qFormat/>
    <w:rsid w:val="00f342eb"/>
  </w:style>
  <w:style w:type="numbering" w:styleId="53" w:customStyle="1">
    <w:name w:val="Нет списка53"/>
    <w:uiPriority w:val="99"/>
    <w:semiHidden/>
    <w:unhideWhenUsed/>
    <w:qFormat/>
    <w:rsid w:val="00f342eb"/>
  </w:style>
  <w:style w:type="numbering" w:styleId="63" w:customStyle="1">
    <w:name w:val="Нет списка63"/>
    <w:uiPriority w:val="99"/>
    <w:semiHidden/>
    <w:unhideWhenUsed/>
    <w:qFormat/>
    <w:rsid w:val="00f342eb"/>
  </w:style>
  <w:style w:type="numbering" w:styleId="72" w:customStyle="1">
    <w:name w:val="Нет списка72"/>
    <w:uiPriority w:val="99"/>
    <w:semiHidden/>
    <w:unhideWhenUsed/>
    <w:qFormat/>
    <w:rsid w:val="00f342eb"/>
  </w:style>
  <w:style w:type="numbering" w:styleId="82" w:customStyle="1">
    <w:name w:val="Нет списка82"/>
    <w:uiPriority w:val="99"/>
    <w:semiHidden/>
    <w:unhideWhenUsed/>
    <w:qFormat/>
    <w:rsid w:val="00f342eb"/>
  </w:style>
  <w:style w:type="numbering" w:styleId="161" w:customStyle="1">
    <w:name w:val="Нет списка16"/>
    <w:uiPriority w:val="99"/>
    <w:semiHidden/>
    <w:unhideWhenUsed/>
    <w:qFormat/>
    <w:rsid w:val="00f342eb"/>
  </w:style>
  <w:style w:type="numbering" w:styleId="111119" w:customStyle="1">
    <w:name w:val="1 / 1.1 / 1.1.9"/>
    <w:qFormat/>
    <w:locked/>
    <w:rsid w:val="00f342eb"/>
  </w:style>
  <w:style w:type="numbering" w:styleId="171" w:customStyle="1">
    <w:name w:val="Нет списка17"/>
    <w:uiPriority w:val="99"/>
    <w:semiHidden/>
    <w:unhideWhenUsed/>
    <w:qFormat/>
    <w:rsid w:val="00f342eb"/>
  </w:style>
  <w:style w:type="numbering" w:styleId="241" w:customStyle="1">
    <w:name w:val="Нет списка24"/>
    <w:uiPriority w:val="99"/>
    <w:semiHidden/>
    <w:unhideWhenUsed/>
    <w:qFormat/>
    <w:rsid w:val="00f342eb"/>
  </w:style>
  <w:style w:type="numbering" w:styleId="1141" w:customStyle="1">
    <w:name w:val="Нет списка114"/>
    <w:uiPriority w:val="99"/>
    <w:semiHidden/>
    <w:unhideWhenUsed/>
    <w:qFormat/>
    <w:rsid w:val="00f342eb"/>
  </w:style>
  <w:style w:type="numbering" w:styleId="34" w:customStyle="1">
    <w:name w:val="Нет списка34"/>
    <w:uiPriority w:val="99"/>
    <w:semiHidden/>
    <w:unhideWhenUsed/>
    <w:qFormat/>
    <w:rsid w:val="00f342eb"/>
  </w:style>
  <w:style w:type="numbering" w:styleId="44" w:customStyle="1">
    <w:name w:val="Нет списка44"/>
    <w:uiPriority w:val="99"/>
    <w:semiHidden/>
    <w:unhideWhenUsed/>
    <w:qFormat/>
    <w:rsid w:val="00f342eb"/>
  </w:style>
  <w:style w:type="numbering" w:styleId="54" w:customStyle="1">
    <w:name w:val="Нет списка54"/>
    <w:uiPriority w:val="99"/>
    <w:semiHidden/>
    <w:unhideWhenUsed/>
    <w:qFormat/>
    <w:rsid w:val="00f342eb"/>
  </w:style>
  <w:style w:type="numbering" w:styleId="64" w:customStyle="1">
    <w:name w:val="Нет списка64"/>
    <w:uiPriority w:val="99"/>
    <w:semiHidden/>
    <w:unhideWhenUsed/>
    <w:qFormat/>
    <w:rsid w:val="00f342eb"/>
  </w:style>
  <w:style w:type="numbering" w:styleId="73" w:customStyle="1">
    <w:name w:val="Нет списка73"/>
    <w:uiPriority w:val="99"/>
    <w:semiHidden/>
    <w:unhideWhenUsed/>
    <w:qFormat/>
    <w:rsid w:val="00f342eb"/>
  </w:style>
  <w:style w:type="numbering" w:styleId="83" w:customStyle="1">
    <w:name w:val="Нет списка83"/>
    <w:uiPriority w:val="99"/>
    <w:semiHidden/>
    <w:unhideWhenUsed/>
    <w:qFormat/>
    <w:rsid w:val="00f342eb"/>
  </w:style>
  <w:style w:type="numbering" w:styleId="181" w:customStyle="1">
    <w:name w:val="Нет списка18"/>
    <w:uiPriority w:val="99"/>
    <w:semiHidden/>
    <w:unhideWhenUsed/>
    <w:qFormat/>
    <w:rsid w:val="00aa6f7c"/>
  </w:style>
  <w:style w:type="numbering" w:styleId="1111110" w:customStyle="1">
    <w:name w:val="1 / 1.1 / 1.1.10"/>
    <w:qFormat/>
    <w:locked/>
    <w:rsid w:val="00aa6f7c"/>
  </w:style>
  <w:style w:type="numbering" w:styleId="191" w:customStyle="1">
    <w:name w:val="Нет списка19"/>
    <w:uiPriority w:val="99"/>
    <w:semiHidden/>
    <w:unhideWhenUsed/>
    <w:qFormat/>
    <w:rsid w:val="00aa6f7c"/>
  </w:style>
  <w:style w:type="numbering" w:styleId="251" w:customStyle="1">
    <w:name w:val="Нет списка25"/>
    <w:uiPriority w:val="99"/>
    <w:semiHidden/>
    <w:unhideWhenUsed/>
    <w:qFormat/>
    <w:rsid w:val="00aa6f7c"/>
  </w:style>
  <w:style w:type="numbering" w:styleId="1151" w:customStyle="1">
    <w:name w:val="Нет списка115"/>
    <w:uiPriority w:val="99"/>
    <w:semiHidden/>
    <w:unhideWhenUsed/>
    <w:qFormat/>
    <w:rsid w:val="00aa6f7c"/>
  </w:style>
  <w:style w:type="numbering" w:styleId="35" w:customStyle="1">
    <w:name w:val="Нет списка35"/>
    <w:uiPriority w:val="99"/>
    <w:semiHidden/>
    <w:unhideWhenUsed/>
    <w:qFormat/>
    <w:rsid w:val="00aa6f7c"/>
  </w:style>
  <w:style w:type="numbering" w:styleId="45" w:customStyle="1">
    <w:name w:val="Нет списка45"/>
    <w:uiPriority w:val="99"/>
    <w:semiHidden/>
    <w:unhideWhenUsed/>
    <w:qFormat/>
    <w:rsid w:val="00aa6f7c"/>
  </w:style>
  <w:style w:type="numbering" w:styleId="55" w:customStyle="1">
    <w:name w:val="Нет списка55"/>
    <w:uiPriority w:val="99"/>
    <w:semiHidden/>
    <w:unhideWhenUsed/>
    <w:qFormat/>
    <w:rsid w:val="00aa6f7c"/>
  </w:style>
  <w:style w:type="numbering" w:styleId="65" w:customStyle="1">
    <w:name w:val="Нет списка65"/>
    <w:uiPriority w:val="99"/>
    <w:semiHidden/>
    <w:unhideWhenUsed/>
    <w:qFormat/>
    <w:rsid w:val="00aa6f7c"/>
  </w:style>
  <w:style w:type="numbering" w:styleId="74" w:customStyle="1">
    <w:name w:val="Нет списка74"/>
    <w:uiPriority w:val="99"/>
    <w:semiHidden/>
    <w:unhideWhenUsed/>
    <w:qFormat/>
    <w:rsid w:val="00aa6f7c"/>
  </w:style>
  <w:style w:type="numbering" w:styleId="84" w:customStyle="1">
    <w:name w:val="Нет списка84"/>
    <w:uiPriority w:val="99"/>
    <w:semiHidden/>
    <w:unhideWhenUsed/>
    <w:qFormat/>
    <w:rsid w:val="00aa6f7c"/>
  </w:style>
  <w:style w:type="numbering" w:styleId="1111111" w:customStyle="1">
    <w:name w:val="1 / 1.1 / 1.1.11"/>
    <w:qFormat/>
    <w:locked/>
    <w:rsid w:val="009b3ffe"/>
  </w:style>
  <w:style w:type="numbering" w:styleId="1111112" w:customStyle="1">
    <w:name w:val="1 / 1.1 / 1.1.12"/>
    <w:qFormat/>
    <w:locked/>
    <w:rsid w:val="002f2a46"/>
  </w:style>
  <w:style w:type="numbering" w:styleId="20" w:customStyle="1">
    <w:name w:val="Нет списка20"/>
    <w:uiPriority w:val="99"/>
    <w:semiHidden/>
    <w:unhideWhenUsed/>
    <w:qFormat/>
    <w:rsid w:val="00af6084"/>
  </w:style>
  <w:style w:type="numbering" w:styleId="1111113" w:customStyle="1">
    <w:name w:val="1 / 1.1 / 1.1.13"/>
    <w:semiHidden/>
    <w:unhideWhenUsed/>
    <w:qFormat/>
    <w:rsid w:val="00af6084"/>
  </w:style>
  <w:style w:type="numbering" w:styleId="1111114" w:customStyle="1">
    <w:name w:val="1 / 1.1 / 1.1.14"/>
    <w:qFormat/>
    <w:locked/>
    <w:rsid w:val="00183baf"/>
  </w:style>
  <w:style w:type="numbering" w:styleId="1111121" w:customStyle="1">
    <w:name w:val="1 / 1.1 / 1.1.21"/>
    <w:qFormat/>
    <w:locked/>
    <w:rsid w:val="00183baf"/>
  </w:style>
  <w:style w:type="numbering" w:styleId="1111115" w:customStyle="1">
    <w:name w:val="1 / 1.1 / 1.1.15"/>
    <w:qFormat/>
    <w:locked/>
    <w:rsid w:val="00651b11"/>
  </w:style>
  <w:style w:type="numbering" w:styleId="11111131" w:customStyle="1">
    <w:name w:val="1 / 1.1 / 1.1.131"/>
    <w:semiHidden/>
    <w:unhideWhenUsed/>
    <w:qFormat/>
    <w:rsid w:val="00651b11"/>
  </w:style>
  <w:style w:type="numbering" w:styleId="11111141" w:customStyle="1">
    <w:name w:val="1 / 1.1 / 1.1.141"/>
    <w:qFormat/>
    <w:locked/>
    <w:rsid w:val="00651b11"/>
  </w:style>
  <w:style w:type="numbering" w:styleId="261" w:customStyle="1">
    <w:name w:val="Нет списка26"/>
    <w:uiPriority w:val="99"/>
    <w:semiHidden/>
    <w:unhideWhenUsed/>
    <w:qFormat/>
    <w:rsid w:val="00651b11"/>
  </w:style>
  <w:style w:type="numbering" w:styleId="1111116" w:customStyle="1">
    <w:name w:val="1 / 1.1 / 1.1.16"/>
    <w:qFormat/>
    <w:locked/>
    <w:rsid w:val="00651b11"/>
  </w:style>
  <w:style w:type="numbering" w:styleId="1101" w:customStyle="1">
    <w:name w:val="Нет списка110"/>
    <w:uiPriority w:val="99"/>
    <w:semiHidden/>
    <w:unhideWhenUsed/>
    <w:qFormat/>
    <w:rsid w:val="00651b11"/>
  </w:style>
  <w:style w:type="numbering" w:styleId="27" w:customStyle="1">
    <w:name w:val="Нет списка27"/>
    <w:uiPriority w:val="99"/>
    <w:semiHidden/>
    <w:unhideWhenUsed/>
    <w:qFormat/>
    <w:rsid w:val="00651b11"/>
  </w:style>
  <w:style w:type="numbering" w:styleId="1111117" w:customStyle="1">
    <w:name w:val="1 / 1.1 / 1.1.17"/>
    <w:qFormat/>
    <w:locked/>
    <w:rsid w:val="00651b11"/>
  </w:style>
  <w:style w:type="numbering" w:styleId="1161" w:customStyle="1">
    <w:name w:val="Нет списка116"/>
    <w:uiPriority w:val="99"/>
    <w:semiHidden/>
    <w:unhideWhenUsed/>
    <w:qFormat/>
    <w:rsid w:val="00651b11"/>
  </w:style>
  <w:style w:type="numbering" w:styleId="28" w:customStyle="1">
    <w:name w:val="Нет списка28"/>
    <w:uiPriority w:val="99"/>
    <w:semiHidden/>
    <w:unhideWhenUsed/>
    <w:qFormat/>
    <w:rsid w:val="00964952"/>
  </w:style>
  <w:style w:type="numbering" w:styleId="29" w:customStyle="1">
    <w:name w:val="Нет списка29"/>
    <w:uiPriority w:val="99"/>
    <w:semiHidden/>
    <w:unhideWhenUsed/>
    <w:qFormat/>
    <w:rsid w:val="00964952"/>
  </w:style>
  <w:style w:type="numbering" w:styleId="1111118" w:customStyle="1">
    <w:name w:val="1 / 1.1 / 1.1.18"/>
    <w:qFormat/>
    <w:locked/>
    <w:rsid w:val="00324674"/>
  </w:style>
  <w:style w:type="numbering" w:styleId="1111119" w:customStyle="1">
    <w:name w:val="1 / 1.1 / 1.1.19"/>
    <w:qFormat/>
    <w:locked/>
    <w:rsid w:val="008a71d5"/>
  </w:style>
  <w:style w:type="numbering" w:styleId="30" w:customStyle="1">
    <w:name w:val="Нет списка30"/>
    <w:uiPriority w:val="99"/>
    <w:semiHidden/>
    <w:unhideWhenUsed/>
    <w:qFormat/>
    <w:rsid w:val="003a31aa"/>
  </w:style>
  <w:style w:type="table" w:default="1" w:styleId="a3">
    <w:name w:val="Normal Table"/>
    <w:uiPriority w:val="99"/>
    <w:semiHidden/>
    <w:unhideWhenUsed/>
    <w:tblPr>
      <w:tblCellMar>
        <w:top w:w="0" w:type="dxa"/>
        <w:left w:w="108" w:type="dxa"/>
        <w:bottom w:w="0" w:type="dxa"/>
        <w:right w:w="108" w:type="dxa"/>
      </w:tblCellMar>
    </w:tblPr>
  </w:style>
  <w:style w:type="table" w:styleId="aff">
    <w:name w:val="Table Grid"/>
    <w:basedOn w:val="a3"/>
    <w:uiPriority w:val="59"/>
    <w:rsid w:val="000b2ee3"/>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3">
    <w:name w:val="Table Grid 5"/>
    <w:basedOn w:val="a3"/>
    <w:rsid w:val="00f72473"/>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
    <w:name w:val="Table Grid1"/>
    <w:basedOn w:val="a3"/>
    <w:rsid w:val="00f72473"/>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0">
    <w:name w:val="Сетка таблицы 52"/>
    <w:basedOn w:val="a3"/>
    <w:rsid w:val="00f72473"/>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35">
    <w:name w:val="Table Columns 3"/>
    <w:basedOn w:val="a3"/>
    <w:rsid w:val="0043038b"/>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46">
    <w:name w:val="Table Columns 4"/>
    <w:basedOn w:val="a3"/>
    <w:rsid w:val="0043038b"/>
    <w:pPr>
      <w:spacing w:line="360" w:lineRule="atLeast"/>
      <w:jc w:val="both"/>
    </w:pPr>
    <w:tblPr>
      <w:tblStyleColBandSize w:val="1"/>
    </w:tblPr>
    <w:tblStylePr w:type="firstRow">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pct50" w:color="008080" w:fill="FFFFFF"/>
      </w:tcPr>
    </w:tblStylePr>
    <w:tblStylePr w:type="band2Vert">
      <w:rPr/>
      <w:tblPr/>
      <w:tcPr>
        <w:shd w:val="pct10" w:color="000000" w:fill="FFFFFF"/>
      </w:tcPr>
    </w:tblStylePr>
  </w:style>
  <w:style w:type="table" w:styleId="57">
    <w:name w:val="Table Columns 5"/>
    <w:basedOn w:val="a3"/>
    <w:rsid w:val="0043038b"/>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blStylePr>
  </w:style>
  <w:style w:type="table" w:styleId="-1">
    <w:name w:val="Table List 1"/>
    <w:basedOn w:val="a3"/>
    <w:rsid w:val="0043038b"/>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solid" w:color="C0C0C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6">
    <w:name w:val="Table Columns 2"/>
    <w:basedOn w:val="a3"/>
    <w:rsid w:val="00fa6d77"/>
    <w:pPr>
      <w:spacing w:line="360" w:lineRule="atLeast"/>
      <w:jc w:val="both"/>
    </w:pPr>
    <w:rPr>
      <w:b/>
      <w:bCs/>
    </w:rPr>
    <w:tblPr>
      <w:tblStyleColBandSize w:val="1"/>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pct30" w:color="000000" w:fill="FFFFFF"/>
      </w:tcPr>
    </w:tblStylePr>
    <w:tblStylePr w:type="band2Vert">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
    <w:name w:val="Table List 2"/>
    <w:basedOn w:val="a3"/>
    <w:rsid w:val="00fa6d77"/>
    <w:pPr>
      <w:spacing w:line="360" w:lineRule="atLeast"/>
      <w:jc w:val="both"/>
    </w:pPr>
    <w:tblPr>
      <w:tblStyleRowBandSize w:val="2"/>
      <w:tblBorders>
        <w:bottom w:val="single" w:color="808080" w:sz="12" w:space="0"/>
      </w:tblBorders>
    </w:tblPr>
    <w:tblStylePr w:type="firstRow">
      <w:rPr>
        <w:b/>
        <w:bCs/>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pct20" w:color="00FF0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affa">
    <w:name w:val="Table Contemporary"/>
    <w:basedOn w:val="a3"/>
    <w:rsid w:val="00fa6d77"/>
    <w:pPr>
      <w:spacing w:line="360" w:lineRule="atLeast"/>
      <w:jc w:val="both"/>
    </w:pPr>
    <w:tblPr>
      <w:tblStyleRowBandSize w:val="1"/>
      <w:tblBorders>
        <w:insideH w:val="single" w:color="FFFFFF" w:sz="18" w:space="0"/>
        <w:insideV w:val="single" w:color="FFFFFF" w:sz="18" w:space="0"/>
      </w:tblBorders>
    </w:tblPr>
    <w:tblStylePr w:type="firstRow">
      <w:rPr>
        <w:b/>
        <w:bCs/>
      </w:rPr>
      <w:tblPr/>
      <w:tcPr>
        <w:tcBorders>
          <w:tl2br w:val="none" w:color="auto" w:sz="0" w:space="0"/>
          <w:tr2bl w:val="none" w:color="auto" w:sz="0" w:space="0"/>
        </w:tcBorders>
        <w:shd w:val="pct20" w:color="000000" w:fill="FFFFFF"/>
      </w:tcPr>
    </w:tblStylePr>
    <w:tblStylePr w:type="band1Horz">
      <w:rPr/>
      <w:tblPr/>
      <w:tcPr>
        <w:tcBorders>
          <w:tl2br w:val="none" w:color="auto" w:sz="0" w:space="0"/>
          <w:tr2bl w:val="none" w:color="auto" w:sz="0" w:space="0"/>
        </w:tcBorders>
        <w:shd w:val="pct5" w:color="000000" w:fill="FFFFFF"/>
      </w:tcPr>
    </w:tblStylePr>
    <w:tblStylePr w:type="band2Horz">
      <w:rPr/>
      <w:tblPr/>
      <w:tcPr>
        <w:tcBorders>
          <w:tl2br w:val="none" w:color="auto" w:sz="0" w:space="0"/>
          <w:tr2bl w:val="none" w:color="auto" w:sz="0" w:space="0"/>
        </w:tcBorders>
        <w:shd w:val="pct20" w:color="000000" w:fill="FFFFFF"/>
      </w:tcPr>
    </w:tblStylePr>
  </w:style>
  <w:style w:type="table" w:customStyle="1" w:styleId="110">
    <w:name w:val="Средний список 11"/>
    <w:basedOn w:val="a3"/>
    <w:uiPriority w:val="65"/>
    <w:rsid w:val="00f43090"/>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spacing w:line="360" w:lineRule="atLeast"/>
      <w:jc w:val="both"/>
    </w:pPr>
    <w:tblStylePr w:type="firstRow">
      <w:rPr>
        <w:b/>
        <w:bCs/>
      </w:rPr>
      <w:tblPr/>
      <w:tcPr>
        <w:tcBorders>
          <w:bottom w:val="single" w:color="000000" w:sz="12" w:space="0"/>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affb">
    <w:name w:val="Table Professional"/>
    <w:basedOn w:val="a3"/>
    <w:rsid w:val="004c48d3"/>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styleId="14">
    <w:name w:val="Table Classic 1"/>
    <w:basedOn w:val="a3"/>
    <w:rsid w:val="00aa4949"/>
    <w:pPr>
      <w:spacing w:before="120" w:after="120"/>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15">
    <w:name w:val="Table Simple 1"/>
    <w:basedOn w:val="a3"/>
    <w:rsid w:val="00aa4949"/>
    <w:pPr>
      <w:spacing w:before="120" w:after="12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28">
    <w:name w:val="Table Subtle 2"/>
    <w:basedOn w:val="a3"/>
    <w:rsid w:val="003072b4"/>
    <w:pPr>
      <w:spacing w:before="120" w:after="12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10">
    <w:name w:val="Table Web 1"/>
    <w:basedOn w:val="a3"/>
    <w:rsid w:val="00af65b4"/>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styleId="-20">
    <w:name w:val="Table Web 2"/>
    <w:basedOn w:val="a3"/>
    <w:rsid w:val="00af65b4"/>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styleId="-3">
    <w:name w:val="Table Web 3"/>
    <w:basedOn w:val="a3"/>
    <w:rsid w:val="00af65b4"/>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styleId="affe">
    <w:name w:val="Table Elegant"/>
    <w:basedOn w:val="a3"/>
    <w:rsid w:val="00af65b4"/>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styleId="16">
    <w:name w:val="Table Subtle 1"/>
    <w:basedOn w:val="a3"/>
    <w:rsid w:val="00af65b4"/>
    <w:pPr>
      <w:spacing w:before="120" w:after="12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a">
    <w:name w:val="Table Classic 2"/>
    <w:basedOn w:val="a3"/>
    <w:rsid w:val="00de55a2"/>
    <w:pPr>
      <w:spacing w:before="120" w:after="120"/>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8">
    <w:name w:val="Сетка таблицы1"/>
    <w:basedOn w:val="a3"/>
    <w:rsid w:val="005e4f4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b">
    <w:name w:val="Сетка таблицы2"/>
    <w:basedOn w:val="a3"/>
    <w:rsid w:val="005e4f4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2">
    <w:name w:val="Table Grid 8"/>
    <w:basedOn w:val="a3"/>
    <w:rsid w:val="005e4f4b"/>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2f">
    <w:name w:val="Table Grid 2"/>
    <w:basedOn w:val="a3"/>
    <w:rsid w:val="00f01d4b"/>
    <w:pPr>
      <w:spacing w:before="120" w:after="120"/>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19">
    <w:name w:val="Table Grid 1"/>
    <w:basedOn w:val="a3"/>
    <w:rsid w:val="00f01d4b"/>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c">
    <w:name w:val="Светлая заливка1"/>
    <w:basedOn w:val="a3"/>
    <w:uiPriority w:val="60"/>
    <w:rsid w:val="005d175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0">
    <w:name w:val="Сетка таблицы25"/>
    <w:basedOn w:val="a3"/>
    <w:rsid w:val="0092253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f2">
    <w:name w:val="Светлая заливка2"/>
    <w:basedOn w:val="a3"/>
    <w:uiPriority w:val="60"/>
    <w:rsid w:val="00922535"/>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c">
    <w:name w:val="Сетка таблицы3"/>
    <w:basedOn w:val="a3"/>
    <w:uiPriority w:val="59"/>
    <w:rsid w:val="000968f2"/>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
    <w:name w:val="Простая таблица 11"/>
    <w:basedOn w:val="a3"/>
    <w:unhideWhenUsed/>
    <w:rsid w:val="00e756f2"/>
    <w:pPr>
      <w:spacing w:before="120" w:after="120"/>
      <w:jc w:val="both"/>
    </w:pPr>
    <w:tblPr>
      <w:tblBorders>
        <w:top w:val="single" w:color="008000" w:sz="12" w:space="0"/>
        <w:bottom w:val="single" w:color="008000" w:sz="12" w:space="0"/>
      </w:tblBorders>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10">
    <w:name w:val="Простая таблица 21"/>
    <w:basedOn w:val="a3"/>
    <w:unhideWhenUsed/>
    <w:rsid w:val="00e756f2"/>
    <w:pPr>
      <w:spacing w:line="360" w:lineRule="atLeast"/>
      <w:jc w:val="both"/>
    </w:pPr>
    <w:tblStylePr w:type="firstRow">
      <w:rPr>
        <w:b/>
        <w:bCs/>
      </w:rPr>
      <w:tblPr/>
      <w:tcPr>
        <w:tcBorders>
          <w:bottom w:val="single" w:color="000000" w:sz="12" w:space="0"/>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12">
    <w:name w:val="Классическая таблица 11"/>
    <w:basedOn w:val="a3"/>
    <w:unhideWhenUsed/>
    <w:rsid w:val="00e756f2"/>
    <w:pPr>
      <w:spacing w:before="120" w:after="120"/>
      <w:jc w:val="both"/>
    </w:pPr>
    <w:tblPr>
      <w:tblBorders>
        <w:top w:val="single" w:color="000000" w:sz="12" w:space="0"/>
        <w:bottom w:val="single" w:color="000000" w:sz="12" w:space="0"/>
      </w:tblBorders>
    </w:tbl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
    <w:name w:val="Классическая таблица 21"/>
    <w:basedOn w:val="a3"/>
    <w:unhideWhenUsed/>
    <w:rsid w:val="00e756f2"/>
    <w:pPr>
      <w:spacing w:before="120" w:after="120"/>
      <w:jc w:val="both"/>
    </w:pPr>
    <w:tblPr>
      <w:tblBorders>
        <w:top w:val="single" w:color="000000" w:sz="12" w:space="0"/>
        <w:bottom w:val="single" w:color="000000" w:sz="12" w:space="0"/>
      </w:tblBorders>
    </w:tbl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212">
    <w:name w:val="Столбцы таблицы 21"/>
    <w:basedOn w:val="a3"/>
    <w:unhideWhenUsed/>
    <w:rsid w:val="00e756f2"/>
    <w:pPr>
      <w:spacing w:line="360" w:lineRule="atLeast"/>
      <w:jc w:val="both"/>
    </w:pPr>
    <w:rPr>
      <w:b/>
      <w:bCs/>
    </w:rPr>
    <w:tblPr>
      <w:tblStyleColBandSize w:val="1"/>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pct30" w:color="000000" w:fill="FFFFFF"/>
      </w:tcPr>
    </w:tblStylePr>
    <w:tblStylePr w:type="band2Vert">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10">
    <w:name w:val="Столбцы таблицы 31"/>
    <w:basedOn w:val="a3"/>
    <w:unhideWhenUsed/>
    <w:rsid w:val="00e756f2"/>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10">
    <w:name w:val="Столбцы таблицы 41"/>
    <w:basedOn w:val="a3"/>
    <w:unhideWhenUsed/>
    <w:rsid w:val="00e756f2"/>
    <w:pPr>
      <w:spacing w:line="360" w:lineRule="atLeast"/>
      <w:jc w:val="both"/>
    </w:pPr>
    <w:tblPr>
      <w:tblStyleColBandSize w:val="1"/>
    </w:tblPr>
    <w:tblStylePr w:type="firstRow">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pct50" w:color="008080" w:fill="FFFFFF"/>
      </w:tcPr>
    </w:tblStylePr>
    <w:tblStylePr w:type="band2Vert">
      <w:rPr/>
      <w:tblPr/>
      <w:tcPr>
        <w:shd w:val="pct10" w:color="000000" w:fill="FFFFFF"/>
      </w:tcPr>
    </w:tblStylePr>
  </w:style>
  <w:style w:type="table" w:customStyle="1" w:styleId="510">
    <w:name w:val="Столбцы таблицы 51"/>
    <w:basedOn w:val="a3"/>
    <w:unhideWhenUsed/>
    <w:rsid w:val="00e756f2"/>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blStylePr>
  </w:style>
  <w:style w:type="table" w:customStyle="1" w:styleId="113">
    <w:name w:val="Сетка таблицы 11"/>
    <w:basedOn w:val="a3"/>
    <w:unhideWhenUsed/>
    <w:rsid w:val="00e756f2"/>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13">
    <w:name w:val="Сетка таблицы 21"/>
    <w:basedOn w:val="a3"/>
    <w:unhideWhenUsed/>
    <w:rsid w:val="00e756f2"/>
    <w:pPr>
      <w:spacing w:before="120" w:after="120"/>
      <w:jc w:val="both"/>
    </w:pPr>
    <w:tblPr>
      <w:tblBorders>
        <w:insideH w:val="single" w:color="000000" w:sz="6" w:space="0"/>
        <w:insideV w:val="single" w:color="000000" w:sz="6" w:space="0"/>
      </w:tblBorders>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11">
    <w:name w:val="Сетка таблицы 51"/>
    <w:basedOn w:val="a3"/>
    <w:unhideWhenUsed/>
    <w:rsid w:val="00e756f2"/>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10">
    <w:name w:val="Сетка таблицы 81"/>
    <w:basedOn w:val="a3"/>
    <w:unhideWhenUsed/>
    <w:rsid w:val="00e756f2"/>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1">
    <w:name w:val="Таблица-список 11"/>
    <w:basedOn w:val="a3"/>
    <w:unhideWhenUsed/>
    <w:rsid w:val="00e756f2"/>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solid" w:color="C0C0C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
    <w:name w:val="Таблица-список 21"/>
    <w:basedOn w:val="a3"/>
    <w:unhideWhenUsed/>
    <w:rsid w:val="00e756f2"/>
    <w:pPr>
      <w:spacing w:line="360" w:lineRule="atLeast"/>
      <w:jc w:val="both"/>
    </w:pPr>
    <w:tblPr>
      <w:tblStyleRowBandSize w:val="2"/>
      <w:tblBorders>
        <w:bottom w:val="single" w:color="808080" w:sz="12" w:space="0"/>
      </w:tblBorders>
    </w:tblPr>
    <w:tblStylePr w:type="firstRow">
      <w:rPr>
        <w:b/>
        <w:bCs/>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pct20" w:color="00FF0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f">
    <w:name w:val="Современная таблица1"/>
    <w:basedOn w:val="a3"/>
    <w:unhideWhenUsed/>
    <w:rsid w:val="00e756f2"/>
    <w:pPr>
      <w:spacing w:line="360" w:lineRule="atLeast"/>
      <w:jc w:val="both"/>
    </w:pPr>
    <w:tblPr>
      <w:tblStyleRowBandSize w:val="1"/>
      <w:tblBorders>
        <w:insideH w:val="single" w:color="FFFFFF" w:sz="18" w:space="0"/>
        <w:insideV w:val="single" w:color="FFFFFF" w:sz="18" w:space="0"/>
      </w:tblBorders>
    </w:tblPr>
    <w:tblStylePr w:type="firstRow">
      <w:rPr>
        <w:b/>
        <w:bCs/>
      </w:rPr>
      <w:tblPr/>
      <w:tcPr>
        <w:tcBorders>
          <w:tl2br w:val="none" w:color="auto" w:sz="0" w:space="0"/>
          <w:tr2bl w:val="none" w:color="auto" w:sz="0" w:space="0"/>
        </w:tcBorders>
        <w:shd w:val="pct20" w:color="000000" w:fill="FFFFFF"/>
      </w:tcPr>
    </w:tblStylePr>
    <w:tblStylePr w:type="band1Horz">
      <w:rPr/>
      <w:tblPr/>
      <w:tcPr>
        <w:tcBorders>
          <w:tl2br w:val="none" w:color="auto" w:sz="0" w:space="0"/>
          <w:tr2bl w:val="none" w:color="auto" w:sz="0" w:space="0"/>
        </w:tcBorders>
        <w:shd w:val="pct5" w:color="000000" w:fill="FFFFFF"/>
      </w:tcPr>
    </w:tblStylePr>
    <w:tblStylePr w:type="band2Horz">
      <w:rPr/>
      <w:tblPr/>
      <w:tcPr>
        <w:tcBorders>
          <w:tl2br w:val="none" w:color="auto" w:sz="0" w:space="0"/>
          <w:tr2bl w:val="none" w:color="auto" w:sz="0" w:space="0"/>
        </w:tcBorders>
        <w:shd w:val="pct20" w:color="000000" w:fill="FFFFFF"/>
      </w:tcPr>
    </w:tblStylePr>
  </w:style>
  <w:style w:type="table" w:customStyle="1" w:styleId="1f0">
    <w:name w:val="Изысканная таблица1"/>
    <w:basedOn w:val="a3"/>
    <w:unhideWhenUsed/>
    <w:rsid w:val="00e756f2"/>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rPr>
      <w:tblPr/>
      <w:tcPr>
        <w:tcBorders>
          <w:tl2br w:val="none" w:color="auto" w:sz="0" w:space="0"/>
          <w:tr2bl w:val="none" w:color="auto" w:sz="0" w:space="0"/>
        </w:tcBorders>
      </w:tcPr>
    </w:tblStylePr>
  </w:style>
  <w:style w:type="table" w:customStyle="1" w:styleId="1f1">
    <w:name w:val="Стандартная таблица1"/>
    <w:basedOn w:val="a3"/>
    <w:unhideWhenUsed/>
    <w:rsid w:val="00e756f2"/>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rPr>
      <w:tblPr/>
      <w:tcPr>
        <w:tcBorders>
          <w:tl2br w:val="none" w:color="auto" w:sz="0" w:space="0"/>
          <w:tr2bl w:val="none" w:color="auto" w:sz="0" w:space="0"/>
        </w:tcBorders>
        <w:shd w:val="solid" w:color="000000" w:fill="FFFFFF"/>
      </w:tcPr>
    </w:tblStylePr>
  </w:style>
  <w:style w:type="table" w:customStyle="1" w:styleId="114">
    <w:name w:val="Изящная таблица 11"/>
    <w:basedOn w:val="a3"/>
    <w:unhideWhenUsed/>
    <w:rsid w:val="00e756f2"/>
    <w:pPr>
      <w:spacing w:before="120" w:after="12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4">
    <w:name w:val="Изящная таблица 21"/>
    <w:basedOn w:val="a3"/>
    <w:unhideWhenUsed/>
    <w:rsid w:val="00e756f2"/>
    <w:pPr>
      <w:spacing w:before="120" w:after="12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0">
    <w:name w:val="Веб-таблица 11"/>
    <w:basedOn w:val="a3"/>
    <w:unhideWhenUsed/>
    <w:rsid w:val="00e756f2"/>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210">
    <w:name w:val="Веб-таблица 21"/>
    <w:basedOn w:val="a3"/>
    <w:unhideWhenUsed/>
    <w:rsid w:val="00e756f2"/>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blStylePr w:type="firstRow">
      <w:rPr/>
      <w:tblPr/>
      <w:tcPr>
        <w:tcBorders>
          <w:tl2br w:val="none" w:color="auto" w:sz="0" w:space="0"/>
          <w:tr2bl w:val="none" w:color="auto" w:sz="0" w:space="0"/>
        </w:tcBorders>
      </w:tcPr>
    </w:tblStylePr>
  </w:style>
  <w:style w:type="table" w:customStyle="1" w:styleId="-31">
    <w:name w:val="Веб-таблица 31"/>
    <w:basedOn w:val="a3"/>
    <w:unhideWhenUsed/>
    <w:rsid w:val="00e756f2"/>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1f2">
    <w:name w:val="Папушкин1"/>
    <w:basedOn w:val="aff"/>
    <w:rsid w:val="00e756f2"/>
    <w:pPr>
      <w:jc w:val="center"/>
    </w:pPr>
    <w:rPr>
      <w:sz w:val="18"/>
      <w:szCs w:val="18"/>
    </w:rPr>
    <w:tblPr>
      <w:tblStyleRowBandSize w:val="1"/>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0">
    <w:name w:val="Средний список 111"/>
    <w:basedOn w:val="a3"/>
    <w:uiPriority w:val="65"/>
    <w:rsid w:val="00e756f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
    <w:name w:val="Простая таблица 12"/>
    <w:basedOn w:val="a3"/>
    <w:semiHidden/>
    <w:unhideWhenUsed/>
    <w:rsid w:val="00742896"/>
    <w:pPr>
      <w:spacing w:before="120" w:after="120"/>
      <w:jc w:val="both"/>
    </w:pPr>
    <w:tblPr>
      <w:tblBorders>
        <w:top w:val="single" w:color="008000" w:sz="12" w:space="0"/>
        <w:bottom w:val="single" w:color="008000" w:sz="12" w:space="0"/>
      </w:tblBorders>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20">
    <w:name w:val="Простая таблица 22"/>
    <w:basedOn w:val="a3"/>
    <w:semiHidden/>
    <w:unhideWhenUsed/>
    <w:rsid w:val="00742896"/>
    <w:pPr>
      <w:spacing w:line="360" w:lineRule="atLeast"/>
      <w:jc w:val="both"/>
    </w:pPr>
    <w:tblStylePr w:type="firstRow">
      <w:rPr>
        <w:b/>
        <w:bCs/>
      </w:rPr>
      <w:tblPr/>
      <w:tcPr>
        <w:tcBorders>
          <w:bottom w:val="single" w:color="000000" w:sz="12" w:space="0"/>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23">
    <w:name w:val="Классическая таблица 12"/>
    <w:basedOn w:val="a3"/>
    <w:semiHidden/>
    <w:unhideWhenUsed/>
    <w:rsid w:val="00742896"/>
    <w:pPr>
      <w:spacing w:before="120" w:after="120"/>
      <w:jc w:val="both"/>
    </w:pPr>
    <w:tblPr>
      <w:tblBorders>
        <w:top w:val="single" w:color="000000" w:sz="12" w:space="0"/>
        <w:bottom w:val="single" w:color="000000" w:sz="12" w:space="0"/>
      </w:tblBorders>
    </w:tbl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1">
    <w:name w:val="Классическая таблица 22"/>
    <w:basedOn w:val="a3"/>
    <w:semiHidden/>
    <w:unhideWhenUsed/>
    <w:rsid w:val="00742896"/>
    <w:pPr>
      <w:spacing w:before="120" w:after="120"/>
      <w:jc w:val="both"/>
    </w:pPr>
    <w:tblPr>
      <w:tblBorders>
        <w:top w:val="single" w:color="000000" w:sz="12" w:space="0"/>
        <w:bottom w:val="single" w:color="000000" w:sz="12" w:space="0"/>
      </w:tblBorders>
    </w:tbl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222">
    <w:name w:val="Столбцы таблицы 22"/>
    <w:basedOn w:val="a3"/>
    <w:semiHidden/>
    <w:unhideWhenUsed/>
    <w:rsid w:val="00742896"/>
    <w:pPr>
      <w:spacing w:line="360" w:lineRule="atLeast"/>
      <w:jc w:val="both"/>
    </w:pPr>
    <w:rPr>
      <w:b/>
      <w:bCs/>
    </w:rPr>
    <w:tblPr>
      <w:tblStyleColBandSize w:val="1"/>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pct30" w:color="000000" w:fill="FFFFFF"/>
      </w:tcPr>
    </w:tblStylePr>
    <w:tblStylePr w:type="band2Vert">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20">
    <w:name w:val="Столбцы таблицы 32"/>
    <w:basedOn w:val="a3"/>
    <w:semiHidden/>
    <w:unhideWhenUsed/>
    <w:rsid w:val="00742896"/>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20">
    <w:name w:val="Столбцы таблицы 42"/>
    <w:basedOn w:val="a3"/>
    <w:semiHidden/>
    <w:unhideWhenUsed/>
    <w:rsid w:val="00742896"/>
    <w:pPr>
      <w:spacing w:line="360" w:lineRule="atLeast"/>
      <w:jc w:val="both"/>
    </w:pPr>
    <w:tblPr>
      <w:tblStyleColBandSize w:val="1"/>
    </w:tblPr>
    <w:tblStylePr w:type="firstRow">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pct50" w:color="008080" w:fill="FFFFFF"/>
      </w:tcPr>
    </w:tblStylePr>
    <w:tblStylePr w:type="band2Vert">
      <w:rPr/>
      <w:tblPr/>
      <w:tcPr>
        <w:shd w:val="pct10" w:color="000000" w:fill="FFFFFF"/>
      </w:tcPr>
    </w:tblStylePr>
  </w:style>
  <w:style w:type="table" w:customStyle="1" w:styleId="522">
    <w:name w:val="Столбцы таблицы 52"/>
    <w:basedOn w:val="a3"/>
    <w:semiHidden/>
    <w:unhideWhenUsed/>
    <w:rsid w:val="00742896"/>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blStylePr>
  </w:style>
  <w:style w:type="table" w:customStyle="1" w:styleId="124">
    <w:name w:val="Сетка таблицы 12"/>
    <w:basedOn w:val="a3"/>
    <w:unhideWhenUsed/>
    <w:rsid w:val="00742896"/>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23">
    <w:name w:val="Сетка таблицы 22"/>
    <w:basedOn w:val="a3"/>
    <w:semiHidden/>
    <w:unhideWhenUsed/>
    <w:rsid w:val="00742896"/>
    <w:pPr>
      <w:spacing w:before="120" w:after="120"/>
      <w:jc w:val="both"/>
    </w:pPr>
    <w:tblPr>
      <w:tblBorders>
        <w:insideH w:val="single" w:color="000000" w:sz="6" w:space="0"/>
        <w:insideV w:val="single" w:color="000000" w:sz="6" w:space="0"/>
      </w:tblBorders>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30">
    <w:name w:val="Сетка таблицы 53"/>
    <w:basedOn w:val="a3"/>
    <w:semiHidden/>
    <w:unhideWhenUsed/>
    <w:rsid w:val="00742896"/>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20">
    <w:name w:val="Сетка таблицы 82"/>
    <w:basedOn w:val="a3"/>
    <w:semiHidden/>
    <w:unhideWhenUsed/>
    <w:rsid w:val="00742896"/>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2">
    <w:name w:val="Таблица-список 12"/>
    <w:basedOn w:val="a3"/>
    <w:semiHidden/>
    <w:unhideWhenUsed/>
    <w:rsid w:val="00742896"/>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solid" w:color="C0C0C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
    <w:name w:val="Таблица-список 22"/>
    <w:basedOn w:val="a3"/>
    <w:semiHidden/>
    <w:unhideWhenUsed/>
    <w:rsid w:val="00742896"/>
    <w:pPr>
      <w:spacing w:line="360" w:lineRule="atLeast"/>
      <w:jc w:val="both"/>
    </w:pPr>
    <w:tblPr>
      <w:tblStyleRowBandSize w:val="2"/>
      <w:tblBorders>
        <w:bottom w:val="single" w:color="808080" w:sz="12" w:space="0"/>
      </w:tblBorders>
    </w:tblPr>
    <w:tblStylePr w:type="firstRow">
      <w:rPr>
        <w:b/>
        <w:bCs/>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pct20" w:color="00FF0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f4">
    <w:name w:val="Современная таблица2"/>
    <w:basedOn w:val="a3"/>
    <w:semiHidden/>
    <w:unhideWhenUsed/>
    <w:rsid w:val="00742896"/>
    <w:pPr>
      <w:spacing w:line="360" w:lineRule="atLeast"/>
      <w:jc w:val="both"/>
    </w:pPr>
    <w:tblPr>
      <w:tblStyleRowBandSize w:val="1"/>
      <w:tblBorders>
        <w:insideH w:val="single" w:color="FFFFFF" w:sz="18" w:space="0"/>
        <w:insideV w:val="single" w:color="FFFFFF" w:sz="18" w:space="0"/>
      </w:tblBorders>
    </w:tblPr>
    <w:tblStylePr w:type="firstRow">
      <w:rPr>
        <w:b/>
        <w:bCs/>
      </w:rPr>
      <w:tblPr/>
      <w:tcPr>
        <w:tcBorders>
          <w:tl2br w:val="none" w:color="auto" w:sz="0" w:space="0"/>
          <w:tr2bl w:val="none" w:color="auto" w:sz="0" w:space="0"/>
        </w:tcBorders>
        <w:shd w:val="pct20" w:color="000000" w:fill="FFFFFF"/>
      </w:tcPr>
    </w:tblStylePr>
    <w:tblStylePr w:type="band1Horz">
      <w:rPr/>
      <w:tblPr/>
      <w:tcPr>
        <w:tcBorders>
          <w:tl2br w:val="none" w:color="auto" w:sz="0" w:space="0"/>
          <w:tr2bl w:val="none" w:color="auto" w:sz="0" w:space="0"/>
        </w:tcBorders>
        <w:shd w:val="pct5" w:color="000000" w:fill="FFFFFF"/>
      </w:tcPr>
    </w:tblStylePr>
    <w:tblStylePr w:type="band2Horz">
      <w:rPr/>
      <w:tblPr/>
      <w:tcPr>
        <w:tcBorders>
          <w:tl2br w:val="none" w:color="auto" w:sz="0" w:space="0"/>
          <w:tr2bl w:val="none" w:color="auto" w:sz="0" w:space="0"/>
        </w:tcBorders>
        <w:shd w:val="pct20" w:color="000000" w:fill="FFFFFF"/>
      </w:tcPr>
    </w:tblStylePr>
  </w:style>
  <w:style w:type="table" w:customStyle="1" w:styleId="2f5">
    <w:name w:val="Изысканная таблица2"/>
    <w:basedOn w:val="a3"/>
    <w:semiHidden/>
    <w:unhideWhenUsed/>
    <w:rsid w:val="00742896"/>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rPr>
      <w:tblPr/>
      <w:tcPr>
        <w:tcBorders>
          <w:tl2br w:val="none" w:color="auto" w:sz="0" w:space="0"/>
          <w:tr2bl w:val="none" w:color="auto" w:sz="0" w:space="0"/>
        </w:tcBorders>
      </w:tcPr>
    </w:tblStylePr>
  </w:style>
  <w:style w:type="table" w:customStyle="1" w:styleId="2f6">
    <w:name w:val="Стандартная таблица2"/>
    <w:basedOn w:val="a3"/>
    <w:semiHidden/>
    <w:unhideWhenUsed/>
    <w:rsid w:val="00742896"/>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rPr>
      <w:tblPr/>
      <w:tcPr>
        <w:tcBorders>
          <w:tl2br w:val="none" w:color="auto" w:sz="0" w:space="0"/>
          <w:tr2bl w:val="none" w:color="auto" w:sz="0" w:space="0"/>
        </w:tcBorders>
        <w:shd w:val="solid" w:color="000000" w:fill="FFFFFF"/>
      </w:tcPr>
    </w:tblStylePr>
  </w:style>
  <w:style w:type="table" w:customStyle="1" w:styleId="125">
    <w:name w:val="Изящная таблица 12"/>
    <w:basedOn w:val="a3"/>
    <w:semiHidden/>
    <w:unhideWhenUsed/>
    <w:rsid w:val="00742896"/>
    <w:pPr>
      <w:spacing w:before="120" w:after="12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4">
    <w:name w:val="Изящная таблица 22"/>
    <w:basedOn w:val="a3"/>
    <w:semiHidden/>
    <w:unhideWhenUsed/>
    <w:rsid w:val="00742896"/>
    <w:pPr>
      <w:spacing w:before="120" w:after="12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20">
    <w:name w:val="Веб-таблица 12"/>
    <w:basedOn w:val="a3"/>
    <w:semiHidden/>
    <w:unhideWhenUsed/>
    <w:rsid w:val="00742896"/>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220">
    <w:name w:val="Веб-таблица 22"/>
    <w:basedOn w:val="a3"/>
    <w:semiHidden/>
    <w:unhideWhenUsed/>
    <w:rsid w:val="00742896"/>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blStylePr w:type="firstRow">
      <w:rPr/>
      <w:tblPr/>
      <w:tcPr>
        <w:tcBorders>
          <w:tl2br w:val="none" w:color="auto" w:sz="0" w:space="0"/>
          <w:tr2bl w:val="none" w:color="auto" w:sz="0" w:space="0"/>
        </w:tcBorders>
      </w:tcPr>
    </w:tblStylePr>
  </w:style>
  <w:style w:type="table" w:customStyle="1" w:styleId="-32">
    <w:name w:val="Веб-таблица 32"/>
    <w:basedOn w:val="a3"/>
    <w:semiHidden/>
    <w:unhideWhenUsed/>
    <w:rsid w:val="00742896"/>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2f7">
    <w:name w:val="Папушкин2"/>
    <w:basedOn w:val="aff"/>
    <w:rsid w:val="00742896"/>
    <w:pPr>
      <w:jc w:val="center"/>
    </w:pPr>
    <w:rPr>
      <w:sz w:val="18"/>
      <w:szCs w:val="18"/>
    </w:rPr>
    <w:tblPr>
      <w:tblStyleRowBandSize w:val="1"/>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0">
    <w:name w:val="Средний список 112"/>
    <w:basedOn w:val="a3"/>
    <w:uiPriority w:val="65"/>
    <w:rsid w:val="00742896"/>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
    <w:name w:val="Сетка таблицы11"/>
    <w:basedOn w:val="a3"/>
    <w:rsid w:val="00dc2dd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
    <w:name w:val="Сетка таблицы4"/>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0">
    <w:name w:val="Сетка таблицы 54"/>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1">
    <w:name w:val="Table Grid11"/>
    <w:basedOn w:val="a3"/>
    <w:rsid w:val="00304d48"/>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3">
    <w:name w:val="Сетка таблицы 523"/>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30">
    <w:name w:val="Средний список 113"/>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jc w:val="both"/>
    </w:pPr>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30">
    <w:name w:val="Классическая таблица 13"/>
    <w:basedOn w:val="a3"/>
    <w:rsid w:val="00304d48"/>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31">
    <w:name w:val="Простая таблица 13"/>
    <w:basedOn w:val="a3"/>
    <w:rsid w:val="00304d48"/>
    <w:pPr>
      <w:spacing w:before="120" w:after="120"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30">
    <w:name w:val="Изящная таблица 23"/>
    <w:basedOn w:val="a3"/>
    <w:rsid w:val="00304d48"/>
    <w:pPr>
      <w:spacing w:before="120" w:after="120" w:line="360" w:lineRule="auto"/>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3">
    <w:name w:val="Веб-таблица 13"/>
    <w:basedOn w:val="a3"/>
    <w:rsid w:val="00304d48"/>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3">
    <w:name w:val="Веб-таблица 23"/>
    <w:basedOn w:val="a3"/>
    <w:rsid w:val="00304d48"/>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3">
    <w:name w:val="Веб-таблица 33"/>
    <w:basedOn w:val="a3"/>
    <w:rsid w:val="00304d48"/>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f0">
    <w:name w:val="Изысканная таблица3"/>
    <w:basedOn w:val="a3"/>
    <w:rsid w:val="00304d48"/>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32">
    <w:name w:val="Изящная таблица 13"/>
    <w:basedOn w:val="a3"/>
    <w:rsid w:val="00304d48"/>
    <w:pPr>
      <w:spacing w:before="120" w:after="120" w:line="360" w:lineRule="auto"/>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31">
    <w:name w:val="Классическая таблица 23"/>
    <w:basedOn w:val="a3"/>
    <w:rsid w:val="00304d48"/>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28">
    <w:name w:val="Сетка таблицы12"/>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6">
    <w:name w:val="Сетка таблицы21"/>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
    <w:name w:val="Сетка таблицы 83"/>
    <w:basedOn w:val="a3"/>
    <w:rsid w:val="00304d48"/>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32">
    <w:name w:val="Сетка таблицы 23"/>
    <w:basedOn w:val="a3"/>
    <w:rsid w:val="00304d48"/>
    <w:pPr>
      <w:spacing w:before="120" w:after="120"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33">
    <w:name w:val="Сетка таблицы 13"/>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35">
    <w:name w:val="Светлая заливка13"/>
    <w:basedOn w:val="a3"/>
    <w:uiPriority w:val="60"/>
    <w:rsid w:val="00304d48"/>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jc w:val="both"/>
    </w:pPr>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3">
    <w:name w:val="Светлая заливка23"/>
    <w:basedOn w:val="a3"/>
    <w:uiPriority w:val="60"/>
    <w:rsid w:val="00304d48"/>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uiPriority w:val="59"/>
    <w:rsid w:val="00304d48"/>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f1">
    <w:name w:val="Table Simple 3"/>
    <w:basedOn w:val="a3"/>
    <w:rsid w:val="00304d48"/>
    <w:pPr>
      <w:spacing w:before="120" w:after="120" w:line="360" w:lineRule="auto"/>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styleId="2-4">
    <w:name w:val="Medium Shading 2 Accent 4"/>
    <w:basedOn w:val="a3"/>
    <w:uiPriority w:val="64"/>
    <w:rsid w:val="00304d48"/>
    <w:pPr>
      <w:spacing w:line="360" w:lineRule="auto"/>
      <w:jc w:val="both"/>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136">
    <w:name w:val="Средний список 13"/>
    <w:basedOn w:val="a3"/>
    <w:uiPriority w:val="65"/>
    <w:rsid w:val="00304d48"/>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uiPriority w:val="65"/>
    <w:rsid w:val="00304d48"/>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
    <w:name w:val="Средняя заливка 2 - Акцент 41"/>
    <w:basedOn w:val="a3"/>
    <w:uiPriority w:val="64"/>
    <w:rsid w:val="00304d48"/>
    <w:pPr>
      <w:spacing w:line="360" w:lineRule="auto"/>
      <w:jc w:val="both"/>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1121">
    <w:name w:val="Средний список 1121"/>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40">
    <w:name w:val="Средний список 114"/>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Средний список 117"/>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uiPriority w:val="60"/>
    <w:rsid w:val="00304d48"/>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
    <w:name w:val="Средний список 1112"/>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a">
    <w:name w:val="Сетка таблицы5"/>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0">
    <w:name w:val="Сетка таблицы 55"/>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2">
    <w:name w:val="Table Grid12"/>
    <w:basedOn w:val="a3"/>
    <w:rsid w:val="00304d48"/>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4">
    <w:name w:val="Сетка таблицы 524"/>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70">
    <w:name w:val="Средний список 1117"/>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jc w:val="both"/>
    </w:pPr>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40">
    <w:name w:val="Классическая таблица 14"/>
    <w:basedOn w:val="a3"/>
    <w:rsid w:val="00304d48"/>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41">
    <w:name w:val="Простая таблица 14"/>
    <w:basedOn w:val="a3"/>
    <w:rsid w:val="00304d48"/>
    <w:pPr>
      <w:spacing w:before="120" w:after="120"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40">
    <w:name w:val="Изящная таблица 24"/>
    <w:basedOn w:val="a3"/>
    <w:rsid w:val="00304d48"/>
    <w:pPr>
      <w:spacing w:before="120" w:after="120" w:line="360" w:lineRule="auto"/>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4">
    <w:name w:val="Веб-таблица 14"/>
    <w:basedOn w:val="a3"/>
    <w:rsid w:val="00304d48"/>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4">
    <w:name w:val="Веб-таблица 24"/>
    <w:basedOn w:val="a3"/>
    <w:rsid w:val="00304d48"/>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4">
    <w:name w:val="Веб-таблица 34"/>
    <w:basedOn w:val="a3"/>
    <w:rsid w:val="00304d48"/>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4d">
    <w:name w:val="Изысканная таблица4"/>
    <w:basedOn w:val="a3"/>
    <w:rsid w:val="00304d48"/>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42">
    <w:name w:val="Изящная таблица 14"/>
    <w:basedOn w:val="a3"/>
    <w:rsid w:val="00304d48"/>
    <w:pPr>
      <w:spacing w:before="120" w:after="120" w:line="360" w:lineRule="auto"/>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41">
    <w:name w:val="Классическая таблица 24"/>
    <w:basedOn w:val="a3"/>
    <w:rsid w:val="00304d48"/>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37">
    <w:name w:val="Сетка таблицы13"/>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
    <w:name w:val="Сетка таблицы22"/>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40">
    <w:name w:val="Сетка таблицы 84"/>
    <w:basedOn w:val="a3"/>
    <w:rsid w:val="00304d48"/>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42">
    <w:name w:val="Сетка таблицы 24"/>
    <w:basedOn w:val="a3"/>
    <w:rsid w:val="00304d48"/>
    <w:pPr>
      <w:spacing w:before="120" w:after="120"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43">
    <w:name w:val="Сетка таблицы 14"/>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45">
    <w:name w:val="Светлая заливка14"/>
    <w:basedOn w:val="a3"/>
    <w:uiPriority w:val="60"/>
    <w:rsid w:val="00304d48"/>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jc w:val="both"/>
    </w:pPr>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
    <w:name w:val="Светлая заливка24"/>
    <w:basedOn w:val="a3"/>
    <w:uiPriority w:val="60"/>
    <w:rsid w:val="00304d48"/>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uiPriority w:val="59"/>
    <w:rsid w:val="00304d48"/>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8">
    <w:name w:val="Средний список 1118"/>
    <w:basedOn w:val="a3"/>
    <w:uiPriority w:val="65"/>
    <w:rsid w:val="00304d48"/>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20">
    <w:name w:val="Средний список 1122"/>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1112"/>
    <w:basedOn w:val="a3"/>
    <w:uiPriority w:val="65"/>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3">
    <w:name w:val="Светлая заливка112"/>
    <w:basedOn w:val="a3"/>
    <w:uiPriority w:val="60"/>
    <w:rsid w:val="00304d48"/>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
    <w:name w:val="Сетка таблицы6"/>
    <w:basedOn w:val="a3"/>
    <w:uiPriority w:val="59"/>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0">
    <w:name w:val="Сетка таблицы 56"/>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3">
    <w:name w:val="Table Grid13"/>
    <w:basedOn w:val="a3"/>
    <w:rsid w:val="00f342eb"/>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50">
    <w:name w:val="Сетка таблицы 525"/>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9">
    <w:name w:val="Средний список 1119"/>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jc w:val="both"/>
    </w:pPr>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50">
    <w:name w:val="Классическая таблица 15"/>
    <w:basedOn w:val="a3"/>
    <w:rsid w:val="00f342eb"/>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51">
    <w:name w:val="Простая таблица 15"/>
    <w:basedOn w:val="a3"/>
    <w:rsid w:val="00f342eb"/>
    <w:pPr>
      <w:spacing w:before="120" w:after="120"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53">
    <w:name w:val="Изящная таблица 25"/>
    <w:basedOn w:val="a3"/>
    <w:rsid w:val="00f342eb"/>
    <w:pPr>
      <w:spacing w:before="120" w:after="120" w:line="360" w:lineRule="auto"/>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5">
    <w:name w:val="Веб-таблица 15"/>
    <w:basedOn w:val="a3"/>
    <w:rsid w:val="00f342eb"/>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5">
    <w:name w:val="Веб-таблица 25"/>
    <w:basedOn w:val="a3"/>
    <w:rsid w:val="00f342eb"/>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5">
    <w:name w:val="Веб-таблица 35"/>
    <w:basedOn w:val="a3"/>
    <w:rsid w:val="00f342eb"/>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5d">
    <w:name w:val="Изысканная таблица5"/>
    <w:basedOn w:val="a3"/>
    <w:rsid w:val="00f342eb"/>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52">
    <w:name w:val="Изящная таблица 15"/>
    <w:basedOn w:val="a3"/>
    <w:rsid w:val="00f342eb"/>
    <w:pPr>
      <w:spacing w:before="120" w:after="120" w:line="360" w:lineRule="auto"/>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54">
    <w:name w:val="Классическая таблица 25"/>
    <w:basedOn w:val="a3"/>
    <w:rsid w:val="00f342eb"/>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46">
    <w:name w:val="Сетка таблицы14"/>
    <w:basedOn w:val="a3"/>
    <w:uiPriority w:val="59"/>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4">
    <w:name w:val="Сетка таблицы23"/>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5">
    <w:name w:val="Сетка таблицы 85"/>
    <w:basedOn w:val="a3"/>
    <w:rsid w:val="00f342eb"/>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55">
    <w:name w:val="Сетка таблицы 25"/>
    <w:basedOn w:val="a3"/>
    <w:rsid w:val="00f342eb"/>
    <w:pPr>
      <w:spacing w:before="120" w:after="120"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53">
    <w:name w:val="Сетка таблицы 15"/>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55">
    <w:name w:val="Светлая заливка15"/>
    <w:basedOn w:val="a3"/>
    <w:uiPriority w:val="60"/>
    <w:rsid w:val="00f342eb"/>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jc w:val="both"/>
    </w:pPr>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
    <w:name w:val="Светлая заливка25"/>
    <w:basedOn w:val="a3"/>
    <w:uiPriority w:val="60"/>
    <w:rsid w:val="00f342eb"/>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uiPriority w:val="59"/>
    <w:rsid w:val="00f342eb"/>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0">
    <w:name w:val="Средний список 11110"/>
    <w:basedOn w:val="a3"/>
    <w:uiPriority w:val="65"/>
    <w:rsid w:val="00f342eb"/>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30">
    <w:name w:val="Средний список 1123"/>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1113"/>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32">
    <w:name w:val="Светлая заливка113"/>
    <w:basedOn w:val="a3"/>
    <w:uiPriority w:val="60"/>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3">
    <w:name w:val="Сетка таблицы7"/>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0">
    <w:name w:val="Сетка таблицы 57"/>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4">
    <w:name w:val="Table Grid14"/>
    <w:basedOn w:val="a3"/>
    <w:rsid w:val="00f342eb"/>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6">
    <w:name w:val="Сетка таблицы 526"/>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00">
    <w:name w:val="Средний список 1120"/>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jc w:val="both"/>
    </w:pPr>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61">
    <w:name w:val="Классическая таблица 16"/>
    <w:basedOn w:val="a3"/>
    <w:rsid w:val="00f342eb"/>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62">
    <w:name w:val="Простая таблица 16"/>
    <w:basedOn w:val="a3"/>
    <w:rsid w:val="00f342eb"/>
    <w:pPr>
      <w:spacing w:before="120" w:after="120"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60">
    <w:name w:val="Изящная таблица 26"/>
    <w:basedOn w:val="a3"/>
    <w:rsid w:val="00f342eb"/>
    <w:pPr>
      <w:spacing w:before="120" w:after="120" w:line="360" w:lineRule="auto"/>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6">
    <w:name w:val="Веб-таблица 16"/>
    <w:basedOn w:val="a3"/>
    <w:rsid w:val="00f342eb"/>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6">
    <w:name w:val="Веб-таблица 26"/>
    <w:basedOn w:val="a3"/>
    <w:rsid w:val="00f342eb"/>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6">
    <w:name w:val="Веб-таблица 36"/>
    <w:basedOn w:val="a3"/>
    <w:rsid w:val="00f342eb"/>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66">
    <w:name w:val="Изысканная таблица6"/>
    <w:basedOn w:val="a3"/>
    <w:rsid w:val="00f342eb"/>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63">
    <w:name w:val="Изящная таблица 16"/>
    <w:basedOn w:val="a3"/>
    <w:rsid w:val="00f342eb"/>
    <w:pPr>
      <w:spacing w:before="120" w:after="120" w:line="360" w:lineRule="auto"/>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61">
    <w:name w:val="Классическая таблица 26"/>
    <w:basedOn w:val="a3"/>
    <w:rsid w:val="00f342eb"/>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56">
    <w:name w:val="Сетка таблицы15"/>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
    <w:name w:val="Сетка таблицы24"/>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6">
    <w:name w:val="Сетка таблицы 86"/>
    <w:basedOn w:val="a3"/>
    <w:rsid w:val="00f342eb"/>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62">
    <w:name w:val="Сетка таблицы 26"/>
    <w:basedOn w:val="a3"/>
    <w:rsid w:val="00f342eb"/>
    <w:pPr>
      <w:spacing w:before="120" w:after="120"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64">
    <w:name w:val="Сетка таблицы 16"/>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65">
    <w:name w:val="Светлая заливка16"/>
    <w:basedOn w:val="a3"/>
    <w:uiPriority w:val="60"/>
    <w:rsid w:val="00f342eb"/>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jc w:val="both"/>
    </w:pPr>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3">
    <w:name w:val="Светлая заливка26"/>
    <w:basedOn w:val="a3"/>
    <w:uiPriority w:val="60"/>
    <w:rsid w:val="00f342eb"/>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uiPriority w:val="59"/>
    <w:rsid w:val="00f342eb"/>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4">
    <w:name w:val="Средний список 11114"/>
    <w:basedOn w:val="a3"/>
    <w:uiPriority w:val="65"/>
    <w:rsid w:val="00f342eb"/>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4">
    <w:name w:val="Средний список 1124"/>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1115"/>
    <w:basedOn w:val="a3"/>
    <w:uiPriority w:val="65"/>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42">
    <w:name w:val="Светлая заливка114"/>
    <w:basedOn w:val="a3"/>
    <w:uiPriority w:val="60"/>
    <w:rsid w:val="00f342eb"/>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7">
    <w:name w:val="Сетка таблицы8"/>
    <w:basedOn w:val="a3"/>
    <w:uiPriority w:val="59"/>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0">
    <w:name w:val="Сетка таблицы 58"/>
    <w:basedOn w:val="a3"/>
    <w:rsid w:val="00aa6f7c"/>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5">
    <w:name w:val="Table Grid15"/>
    <w:basedOn w:val="a3"/>
    <w:rsid w:val="00aa6f7c"/>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7">
    <w:name w:val="Сетка таблицы 527"/>
    <w:basedOn w:val="a3"/>
    <w:rsid w:val="00aa6f7c"/>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5">
    <w:name w:val="Средний список 1125"/>
    <w:basedOn w:val="a3"/>
    <w:uiPriority w:val="65"/>
    <w:rsid w:val="00aa6f7c"/>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jc w:val="both"/>
    </w:pPr>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rsid w:val="00aa6f7c"/>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71">
    <w:name w:val="Классическая таблица 17"/>
    <w:basedOn w:val="a3"/>
    <w:rsid w:val="00aa6f7c"/>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72">
    <w:name w:val="Простая таблица 17"/>
    <w:basedOn w:val="a3"/>
    <w:rsid w:val="00aa6f7c"/>
    <w:pPr>
      <w:spacing w:before="120" w:after="120"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70">
    <w:name w:val="Изящная таблица 27"/>
    <w:basedOn w:val="a3"/>
    <w:rsid w:val="00aa6f7c"/>
    <w:pPr>
      <w:spacing w:before="120" w:after="120" w:line="360" w:lineRule="auto"/>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7">
    <w:name w:val="Веб-таблица 17"/>
    <w:basedOn w:val="a3"/>
    <w:rsid w:val="00aa6f7c"/>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7">
    <w:name w:val="Веб-таблица 27"/>
    <w:basedOn w:val="a3"/>
    <w:rsid w:val="00aa6f7c"/>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7">
    <w:name w:val="Веб-таблица 37"/>
    <w:basedOn w:val="a3"/>
    <w:rsid w:val="00aa6f7c"/>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76">
    <w:name w:val="Изысканная таблица7"/>
    <w:basedOn w:val="a3"/>
    <w:rsid w:val="00aa6f7c"/>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73">
    <w:name w:val="Изящная таблица 17"/>
    <w:basedOn w:val="a3"/>
    <w:rsid w:val="00aa6f7c"/>
    <w:pPr>
      <w:spacing w:before="120" w:after="120" w:line="360" w:lineRule="auto"/>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71">
    <w:name w:val="Классическая таблица 27"/>
    <w:basedOn w:val="a3"/>
    <w:rsid w:val="00aa6f7c"/>
    <w:pPr>
      <w:spacing w:before="120" w:after="120" w:line="360" w:lineRule="auto"/>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66">
    <w:name w:val="Сетка таблицы16"/>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4">
    <w:name w:val="Сетка таблицы26"/>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70">
    <w:name w:val="Сетка таблицы 87"/>
    <w:basedOn w:val="a3"/>
    <w:rsid w:val="00aa6f7c"/>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72">
    <w:name w:val="Сетка таблицы 27"/>
    <w:basedOn w:val="a3"/>
    <w:rsid w:val="00aa6f7c"/>
    <w:pPr>
      <w:spacing w:before="120" w:after="120"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74">
    <w:name w:val="Сетка таблицы 17"/>
    <w:basedOn w:val="a3"/>
    <w:rsid w:val="00aa6f7c"/>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75">
    <w:name w:val="Светлая заливка17"/>
    <w:basedOn w:val="a3"/>
    <w:uiPriority w:val="60"/>
    <w:rsid w:val="00aa6f7c"/>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jc w:val="both"/>
    </w:pPr>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
    <w:name w:val="Светлая заливка27"/>
    <w:basedOn w:val="a3"/>
    <w:uiPriority w:val="60"/>
    <w:rsid w:val="00aa6f7c"/>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uiPriority w:val="59"/>
    <w:rsid w:val="00aa6f7c"/>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6">
    <w:name w:val="Средний список 11116"/>
    <w:basedOn w:val="a3"/>
    <w:uiPriority w:val="65"/>
    <w:rsid w:val="00aa6f7c"/>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6">
    <w:name w:val="Средний список 1126"/>
    <w:basedOn w:val="a3"/>
    <w:uiPriority w:val="65"/>
    <w:rsid w:val="00aa6f7c"/>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7">
    <w:name w:val="Средний список 11117"/>
    <w:basedOn w:val="a3"/>
    <w:uiPriority w:val="65"/>
    <w:rsid w:val="00aa6f7c"/>
    <w:pPr>
      <w:spacing w:line="360" w:lineRule="auto"/>
      <w:jc w:val="both"/>
    </w:pPr>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2">
    <w:name w:val="Светлая заливка115"/>
    <w:basedOn w:val="a3"/>
    <w:uiPriority w:val="60"/>
    <w:rsid w:val="00aa6f7c"/>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
    <w:name w:val="Простая таблица 18"/>
    <w:basedOn w:val="a3"/>
    <w:semiHidden/>
    <w:unhideWhenUsed/>
    <w:rsid w:val="00af6084"/>
    <w:pPr>
      <w:spacing w:before="120" w:after="120"/>
      <w:jc w:val="both"/>
    </w:pPr>
    <w:tblPr>
      <w:tblBorders>
        <w:top w:val="single" w:color="008000" w:sz="12" w:space="0"/>
        <w:bottom w:val="single" w:color="008000" w:sz="12" w:space="0"/>
      </w:tblBorders>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36">
    <w:name w:val="Простая таблица 23"/>
    <w:basedOn w:val="a3"/>
    <w:semiHidden/>
    <w:unhideWhenUsed/>
    <w:rsid w:val="00af6084"/>
    <w:pPr>
      <w:spacing w:line="360" w:lineRule="atLeast"/>
      <w:jc w:val="both"/>
    </w:pPr>
    <w:tblStylePr w:type="firstRow">
      <w:rPr>
        <w:b/>
        <w:bCs/>
      </w:rPr>
      <w:tblPr/>
      <w:tcPr>
        <w:tcBorders>
          <w:bottom w:val="single" w:color="000000" w:sz="12" w:space="0"/>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82">
    <w:name w:val="Классическая таблица 18"/>
    <w:basedOn w:val="a3"/>
    <w:semiHidden/>
    <w:unhideWhenUsed/>
    <w:rsid w:val="00af6084"/>
    <w:pPr>
      <w:spacing w:before="120" w:after="120"/>
      <w:jc w:val="both"/>
    </w:pPr>
    <w:tblPr>
      <w:tblBorders>
        <w:top w:val="single" w:color="000000" w:sz="12" w:space="0"/>
        <w:bottom w:val="single" w:color="000000" w:sz="12" w:space="0"/>
      </w:tblBorders>
    </w:tbl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80">
    <w:name w:val="Классическая таблица 28"/>
    <w:basedOn w:val="a3"/>
    <w:semiHidden/>
    <w:unhideWhenUsed/>
    <w:rsid w:val="00af6084"/>
    <w:pPr>
      <w:spacing w:before="120" w:after="120"/>
      <w:jc w:val="both"/>
    </w:pPr>
    <w:tblPr>
      <w:tblBorders>
        <w:top w:val="single" w:color="000000" w:sz="12" w:space="0"/>
        <w:bottom w:val="single" w:color="000000" w:sz="12" w:space="0"/>
      </w:tblBorders>
    </w:tbl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237">
    <w:name w:val="Столбцы таблицы 23"/>
    <w:basedOn w:val="a3"/>
    <w:semiHidden/>
    <w:unhideWhenUsed/>
    <w:rsid w:val="00af6084"/>
    <w:pPr>
      <w:spacing w:line="360" w:lineRule="atLeast"/>
      <w:jc w:val="both"/>
    </w:pPr>
    <w:rPr>
      <w:b/>
      <w:bCs/>
    </w:rPr>
    <w:tblPr>
      <w:tblStyleColBandSize w:val="1"/>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pct30" w:color="000000" w:fill="FFFFFF"/>
      </w:tcPr>
    </w:tblStylePr>
    <w:tblStylePr w:type="band2Vert">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32">
    <w:name w:val="Столбцы таблицы 33"/>
    <w:basedOn w:val="a3"/>
    <w:semiHidden/>
    <w:unhideWhenUsed/>
    <w:rsid w:val="00af6084"/>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31">
    <w:name w:val="Столбцы таблицы 43"/>
    <w:basedOn w:val="a3"/>
    <w:semiHidden/>
    <w:unhideWhenUsed/>
    <w:rsid w:val="00af6084"/>
    <w:pPr>
      <w:spacing w:line="360" w:lineRule="atLeast"/>
      <w:jc w:val="both"/>
    </w:pPr>
    <w:tblPr>
      <w:tblStyleColBandSize w:val="1"/>
    </w:tblPr>
    <w:tblStylePr w:type="firstRow">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pct50" w:color="008080" w:fill="FFFFFF"/>
      </w:tcPr>
    </w:tblStylePr>
    <w:tblStylePr w:type="band2Vert">
      <w:rPr/>
      <w:tblPr/>
      <w:tcPr>
        <w:shd w:val="pct10" w:color="000000" w:fill="FFFFFF"/>
      </w:tcPr>
    </w:tblStylePr>
  </w:style>
  <w:style w:type="table" w:customStyle="1" w:styleId="532">
    <w:name w:val="Столбцы таблицы 53"/>
    <w:basedOn w:val="a3"/>
    <w:semiHidden/>
    <w:unhideWhenUsed/>
    <w:rsid w:val="00af6084"/>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blStylePr>
  </w:style>
  <w:style w:type="table" w:customStyle="1" w:styleId="183">
    <w:name w:val="Сетка таблицы 18"/>
    <w:basedOn w:val="a3"/>
    <w:semiHidden/>
    <w:unhideWhenUsed/>
    <w:rsid w:val="00af6084"/>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81">
    <w:name w:val="Сетка таблицы 28"/>
    <w:basedOn w:val="a3"/>
    <w:semiHidden/>
    <w:unhideWhenUsed/>
    <w:rsid w:val="00af6084"/>
    <w:pPr>
      <w:spacing w:before="120" w:after="120"/>
      <w:jc w:val="both"/>
    </w:pPr>
    <w:tblPr>
      <w:tblBorders>
        <w:insideH w:val="single" w:color="000000" w:sz="6" w:space="0"/>
        <w:insideV w:val="single" w:color="000000" w:sz="6" w:space="0"/>
      </w:tblBorders>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90">
    <w:name w:val="Сетка таблицы 59"/>
    <w:basedOn w:val="a3"/>
    <w:semiHidden/>
    <w:unhideWhenUsed/>
    <w:rsid w:val="00af6084"/>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8">
    <w:name w:val="Сетка таблицы 88"/>
    <w:basedOn w:val="a3"/>
    <w:semiHidden/>
    <w:unhideWhenUsed/>
    <w:rsid w:val="00af6084"/>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30">
    <w:name w:val="Таблица-список 13"/>
    <w:basedOn w:val="a3"/>
    <w:semiHidden/>
    <w:unhideWhenUsed/>
    <w:rsid w:val="00af6084"/>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solid" w:color="C0C0C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30">
    <w:name w:val="Таблица-список 23"/>
    <w:basedOn w:val="a3"/>
    <w:semiHidden/>
    <w:unhideWhenUsed/>
    <w:rsid w:val="00af6084"/>
    <w:pPr>
      <w:spacing w:line="360" w:lineRule="atLeast"/>
      <w:jc w:val="both"/>
    </w:pPr>
    <w:tblPr>
      <w:tblStyleRowBandSize w:val="2"/>
      <w:tblBorders>
        <w:bottom w:val="single" w:color="808080" w:sz="12" w:space="0"/>
      </w:tblBorders>
    </w:tblPr>
    <w:tblStylePr w:type="firstRow">
      <w:rPr>
        <w:b/>
        <w:bCs/>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pct20" w:color="00FF0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f3">
    <w:name w:val="Современная таблица3"/>
    <w:basedOn w:val="a3"/>
    <w:semiHidden/>
    <w:unhideWhenUsed/>
    <w:rsid w:val="00af6084"/>
    <w:pPr>
      <w:spacing w:line="360" w:lineRule="atLeast"/>
      <w:jc w:val="both"/>
    </w:pPr>
    <w:tblPr>
      <w:tblStyleRowBandSize w:val="1"/>
      <w:tblBorders>
        <w:insideH w:val="single" w:color="FFFFFF" w:sz="18" w:space="0"/>
        <w:insideV w:val="single" w:color="FFFFFF" w:sz="18" w:space="0"/>
      </w:tblBorders>
    </w:tblPr>
    <w:tblStylePr w:type="firstRow">
      <w:rPr>
        <w:b/>
        <w:bCs/>
      </w:rPr>
      <w:tblPr/>
      <w:tcPr>
        <w:tcBorders>
          <w:tl2br w:val="none" w:color="auto" w:sz="0" w:space="0"/>
          <w:tr2bl w:val="none" w:color="auto" w:sz="0" w:space="0"/>
        </w:tcBorders>
        <w:shd w:val="pct20" w:color="000000" w:fill="FFFFFF"/>
      </w:tcPr>
    </w:tblStylePr>
    <w:tblStylePr w:type="band1Horz">
      <w:rPr/>
      <w:tblPr/>
      <w:tcPr>
        <w:tcBorders>
          <w:tl2br w:val="none" w:color="auto" w:sz="0" w:space="0"/>
          <w:tr2bl w:val="none" w:color="auto" w:sz="0" w:space="0"/>
        </w:tcBorders>
        <w:shd w:val="pct5" w:color="000000" w:fill="FFFFFF"/>
      </w:tcPr>
    </w:tblStylePr>
    <w:tblStylePr w:type="band2Horz">
      <w:rPr/>
      <w:tblPr/>
      <w:tcPr>
        <w:tcBorders>
          <w:tl2br w:val="none" w:color="auto" w:sz="0" w:space="0"/>
          <w:tr2bl w:val="none" w:color="auto" w:sz="0" w:space="0"/>
        </w:tcBorders>
        <w:shd w:val="pct20" w:color="000000" w:fill="FFFFFF"/>
      </w:tcPr>
    </w:tblStylePr>
  </w:style>
  <w:style w:type="table" w:customStyle="1" w:styleId="89">
    <w:name w:val="Изысканная таблица8"/>
    <w:basedOn w:val="a3"/>
    <w:semiHidden/>
    <w:unhideWhenUsed/>
    <w:rsid w:val="00af6084"/>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rPr>
      <w:tblPr/>
      <w:tcPr>
        <w:tcBorders>
          <w:tl2br w:val="none" w:color="auto" w:sz="0" w:space="0"/>
          <w:tr2bl w:val="none" w:color="auto" w:sz="0" w:space="0"/>
        </w:tcBorders>
      </w:tcPr>
    </w:tblStylePr>
  </w:style>
  <w:style w:type="table" w:customStyle="1" w:styleId="8a">
    <w:name w:val="Стандартная таблица8"/>
    <w:basedOn w:val="a3"/>
    <w:semiHidden/>
    <w:unhideWhenUsed/>
    <w:rsid w:val="00af6084"/>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rPr>
      <w:tblPr/>
      <w:tcPr>
        <w:tcBorders>
          <w:tl2br w:val="none" w:color="auto" w:sz="0" w:space="0"/>
          <w:tr2bl w:val="none" w:color="auto" w:sz="0" w:space="0"/>
        </w:tcBorders>
        <w:shd w:val="solid" w:color="000000" w:fill="FFFFFF"/>
      </w:tcPr>
    </w:tblStylePr>
  </w:style>
  <w:style w:type="table" w:customStyle="1" w:styleId="184">
    <w:name w:val="Изящная таблица 18"/>
    <w:basedOn w:val="a3"/>
    <w:semiHidden/>
    <w:unhideWhenUsed/>
    <w:rsid w:val="00af6084"/>
    <w:pPr>
      <w:spacing w:before="120" w:after="12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82">
    <w:name w:val="Изящная таблица 28"/>
    <w:basedOn w:val="a3"/>
    <w:semiHidden/>
    <w:unhideWhenUsed/>
    <w:rsid w:val="00af6084"/>
    <w:pPr>
      <w:spacing w:before="120" w:after="12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8">
    <w:name w:val="Веб-таблица 18"/>
    <w:basedOn w:val="a3"/>
    <w:semiHidden/>
    <w:unhideWhenUsed/>
    <w:rsid w:val="00af6084"/>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28">
    <w:name w:val="Веб-таблица 28"/>
    <w:basedOn w:val="a3"/>
    <w:semiHidden/>
    <w:unhideWhenUsed/>
    <w:rsid w:val="00af6084"/>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blStylePr w:type="firstRow">
      <w:rPr/>
      <w:tblPr/>
      <w:tcPr>
        <w:tcBorders>
          <w:tl2br w:val="none" w:color="auto" w:sz="0" w:space="0"/>
          <w:tr2bl w:val="none" w:color="auto" w:sz="0" w:space="0"/>
        </w:tcBorders>
      </w:tcPr>
    </w:tblStylePr>
  </w:style>
  <w:style w:type="table" w:customStyle="1" w:styleId="-38">
    <w:name w:val="Веб-таблица 38"/>
    <w:basedOn w:val="a3"/>
    <w:semiHidden/>
    <w:unhideWhenUsed/>
    <w:rsid w:val="00af6084"/>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blStylePr w:type="firstRow">
      <w:rPr/>
      <w:tblPr/>
      <w:tcPr>
        <w:tcBorders>
          <w:tl2br w:val="none" w:color="auto" w:sz="0" w:space="0"/>
          <w:tr2bl w:val="none" w:color="auto" w:sz="0" w:space="0"/>
        </w:tcBorders>
      </w:tcPr>
    </w:tblStylePr>
  </w:style>
  <w:style w:type="table" w:customStyle="1" w:styleId="8b">
    <w:name w:val="Папушкин8"/>
    <w:basedOn w:val="aff"/>
    <w:rsid w:val="00af6084"/>
    <w:pPr>
      <w:jc w:val="center"/>
    </w:pPr>
    <w:rPr>
      <w:sz w:val="18"/>
      <w:szCs w:val="18"/>
    </w:rPr>
    <w:tblPr>
      <w:tblStyleRowBandSize w:val="1"/>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7">
    <w:name w:val="Средний список 1127"/>
    <w:basedOn w:val="a3"/>
    <w:uiPriority w:val="65"/>
    <w:rsid w:val="00af6084"/>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themeColor="text1"/>
    </w:rPr>
    <w:tblPr>
      <w:tblStyleRowBandSize w:val="1"/>
      <w:tblStyleColBandSize w:val="1"/>
      <w:tblBorders>
        <w:top w:val="single" w:color="000000" w:themeColor="text1" w:sz="8" w:space="0"/>
        <w:bottom w:val="single" w:color="000000" w:themeColor="text1" w:sz="8" w:space="0"/>
      </w:tblBorders>
    </w:tblPr>
    <w:tblStylePr w:type="firstRow">
      <w:rPr/>
      <w:tblPr/>
      <w:tcPr>
        <w:tcBorders>
          <w:top w:val="nil"/>
          <w:bottom w:val="single" w:color="000000" w:themeColor="text1" w:sz="8" w:space="0"/>
        </w:tcBorders>
      </w:tcPr>
    </w:tblStylePr>
    <w:tblStylePr w:type="lastRow">
      <w:rPr>
        <w:b/>
        <w:bCs/>
        <w:color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1">
    <w:name w:val="Светлая заливка116"/>
    <w:basedOn w:val="a3"/>
    <w:uiPriority w:val="60"/>
    <w:rsid w:val="00183ba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rsid w:val="00183baf"/>
    <w:pPr>
      <w:spacing w:before="120" w:after="12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2-42">
    <w:name w:val="Средняя заливка 2 - Акцент 42"/>
    <w:basedOn w:val="a3"/>
    <w:uiPriority w:val="64"/>
    <w:rsid w:val="00183ba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themeColor="background1"/>
      </w:rPr>
      <w:tblPr/>
      <w:tcPr>
        <w:tcBorders>
          <w:top w:val="single" w:color="auto" w:sz="18" w:space="0"/>
          <w:left w:val="nil"/>
          <w:bottom w:val="single" w:color="auto" w:sz="18" w:space="0"/>
          <w:right w:val="nil"/>
          <w:insideH w:val="nil"/>
          <w:insideV w:val="nil"/>
        </w:tcBorders>
      </w:tcPr>
    </w:tblStylePr>
  </w:style>
  <w:style w:type="table" w:customStyle="1" w:styleId="1210">
    <w:name w:val="Светлая заливка12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uiPriority w:val="59"/>
    <w:rsid w:val="00183baf"/>
    <w:rPr>
      <w:lang w:eastAsia="en-US"/>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1310">
    <w:name w:val="Светлая заливка113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uiPriority w:val="59"/>
    <w:rsid w:val="00183baf"/>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410">
    <w:name w:val="Светлая заливка114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eastAsiaTheme="minorHAnsi" w:cstheme="minorBidi"/>
      <w:lang w:eastAsia="en-US"/>
      <w:sz w:val="18"/>
      <w:szCs w:val="22"/>
    </w:rPr>
    <w:tblPr>
      <w:tblStyleRowBandSize w:val="1"/>
      <w:tblStyleColBandSize w:val="1"/>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513">
    <w:name w:val="Сетка таблицы51"/>
    <w:basedOn w:val="a3"/>
    <w:rsid w:val="00183baf"/>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0">
    <w:name w:val="Сетка таблицы 511"/>
    <w:basedOn w:val="a3"/>
    <w:rsid w:val="00183baf"/>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11">
    <w:name w:val="Table Grid111"/>
    <w:basedOn w:val="a3"/>
    <w:rsid w:val="00183baf"/>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jc w:val="center"/>
    </w:pPr>
    <w:rPr>
      <w:sz w:val="18"/>
      <w:szCs w:val="18"/>
    </w:rPr>
    <w:tblPr>
      <w:tblStyleRowBandSize w:val="1"/>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11">
    <w:name w:val="Сетка таблицы 5211"/>
    <w:basedOn w:val="a3"/>
    <w:rsid w:val="00183baf"/>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3111">
    <w:name w:val="Столбцы таблицы 311"/>
    <w:basedOn w:val="a3"/>
    <w:rsid w:val="00183baf"/>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110">
    <w:name w:val="Столбцы таблицы 411"/>
    <w:basedOn w:val="a3"/>
    <w:rsid w:val="00183baf"/>
    <w:pPr>
      <w:spacing w:line="360" w:lineRule="atLeast"/>
      <w:jc w:val="both"/>
    </w:pPr>
    <w:tblPr>
      <w:tblStyleColBandSize w:val="1"/>
    </w:tblPr>
    <w:tblStylePr w:type="firstRow">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pct50" w:color="008080" w:fill="FFFFFF"/>
      </w:tcPr>
    </w:tblStylePr>
    <w:tblStylePr w:type="band2Vert">
      <w:rPr/>
      <w:tblPr/>
      <w:tcPr>
        <w:shd w:val="pct10" w:color="000000" w:fill="FFFFFF"/>
      </w:tcPr>
    </w:tblStylePr>
  </w:style>
  <w:style w:type="table" w:customStyle="1" w:styleId="5111">
    <w:name w:val="Столбцы таблицы 511"/>
    <w:basedOn w:val="a3"/>
    <w:rsid w:val="00183baf"/>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tblPr/>
      <w:tcPr>
        <w:shd w:val="solid" w:color="C0C0C0" w:fill="FFFFFF"/>
      </w:tcPr>
    </w:tblStylePr>
    <w:tblStylePr w:type="band2Vert">
      <w:rPr/>
      <w:tblPr/>
    </w:tblStylePr>
  </w:style>
  <w:style w:type="table" w:customStyle="1" w:styleId="-111">
    <w:name w:val="Таблица-список 111"/>
    <w:basedOn w:val="a3"/>
    <w:rsid w:val="00183baf"/>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solid" w:color="C0C0C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1">
    <w:name w:val="Столбцы таблицы 211"/>
    <w:basedOn w:val="a3"/>
    <w:rsid w:val="00183baf"/>
    <w:pPr>
      <w:spacing w:line="360" w:lineRule="atLeast"/>
      <w:jc w:val="both"/>
    </w:pPr>
    <w:rPr>
      <w:b/>
      <w:bCs/>
    </w:rPr>
    <w:tblPr>
      <w:tblStyleColBandSize w:val="1"/>
    </w:tblPr>
    <w:tblStylePr w:type="firstRow">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tblPr/>
      <w:tcPr>
        <w:shd w:val="pct30" w:color="000000" w:fill="FFFFFF"/>
      </w:tcPr>
    </w:tblStylePr>
    <w:tblStylePr w:type="band2Vert">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
    <w:name w:val="Таблица-список 211"/>
    <w:basedOn w:val="a3"/>
    <w:rsid w:val="00183baf"/>
    <w:pPr>
      <w:spacing w:line="360" w:lineRule="atLeast"/>
      <w:jc w:val="both"/>
    </w:pPr>
    <w:tblPr>
      <w:tblStyleRowBandSize w:val="2"/>
      <w:tblBorders>
        <w:bottom w:val="single" w:color="808080" w:sz="12" w:space="0"/>
      </w:tblBorders>
    </w:tblPr>
    <w:tblStylePr w:type="firstRow">
      <w:rPr>
        <w:b/>
        <w:bCs/>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tblPr/>
      <w:tcPr>
        <w:tcBorders>
          <w:tl2br w:val="none" w:color="auto" w:sz="0" w:space="0"/>
          <w:tr2bl w:val="none" w:color="auto" w:sz="0" w:space="0"/>
        </w:tcBorders>
        <w:shd w:val="pct20" w:color="00FF00" w:fill="FFFFFF"/>
      </w:tcPr>
    </w:tblStylePr>
    <w:tblStylePr w:type="band2Horz">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b">
    <w:name w:val="Современная таблица11"/>
    <w:basedOn w:val="a3"/>
    <w:rsid w:val="00183baf"/>
    <w:pPr>
      <w:spacing w:line="360" w:lineRule="atLeast"/>
      <w:jc w:val="both"/>
    </w:pPr>
    <w:tblPr>
      <w:tblStyleRowBandSize w:val="1"/>
      <w:tblBorders>
        <w:insideH w:val="single" w:color="FFFFFF" w:sz="18" w:space="0"/>
        <w:insideV w:val="single" w:color="FFFFFF" w:sz="18" w:space="0"/>
      </w:tblBorders>
    </w:tblPr>
    <w:tblStylePr w:type="firstRow">
      <w:rPr>
        <w:b/>
        <w:bCs/>
      </w:rPr>
      <w:tblPr/>
      <w:tcPr>
        <w:tcBorders>
          <w:tl2br w:val="none" w:color="auto" w:sz="0" w:space="0"/>
          <w:tr2bl w:val="none" w:color="auto" w:sz="0" w:space="0"/>
        </w:tcBorders>
        <w:shd w:val="pct20" w:color="000000" w:fill="FFFFFF"/>
      </w:tcPr>
    </w:tblStylePr>
    <w:tblStylePr w:type="band1Horz">
      <w:rPr/>
      <w:tblPr/>
      <w:tcPr>
        <w:tcBorders>
          <w:tl2br w:val="none" w:color="auto" w:sz="0" w:space="0"/>
          <w:tr2bl w:val="none" w:color="auto" w:sz="0" w:space="0"/>
        </w:tcBorders>
        <w:shd w:val="pct5" w:color="000000" w:fill="FFFFFF"/>
      </w:tcPr>
    </w:tblStylePr>
    <w:tblStylePr w:type="band2Horz">
      <w:rPr/>
      <w:tblPr/>
      <w:tcPr>
        <w:tcBorders>
          <w:tl2br w:val="none" w:color="auto" w:sz="0" w:space="0"/>
          <w:tr2bl w:val="none" w:color="auto" w:sz="0" w:space="0"/>
        </w:tcBorders>
        <w:shd w:val="pct20" w:color="000000" w:fill="FFFFFF"/>
      </w:tcPr>
    </w:tblStylePr>
  </w:style>
  <w:style w:type="table" w:customStyle="1" w:styleId="111180">
    <w:name w:val="Средний список 11118"/>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tblPr>
      <w:tblStyleRowBandSize w:val="1"/>
      <w:tblStyleColBandSize w:val="1"/>
      <w:tblBorders>
        <w:top w:val="single" w:color="4F81BD" w:sz="8" w:space="0"/>
        <w:bottom w:val="single" w:color="4F81BD" w:sz="8" w:space="0"/>
      </w:tblBorders>
    </w:tblPr>
    <w:tblStylePr w:type="firstRow">
      <w:rPr/>
      <w:tblPr/>
      <w:tcPr>
        <w:tcBorders>
          <w:top w:val="nil"/>
          <w:bottom w:val="single" w:color="4F81BD" w:sz="8" w:space="0"/>
        </w:tcBorders>
      </w:tcPr>
    </w:tblStylePr>
    <w:tblStylePr w:type="lastRow">
      <w:rPr>
        <w:b/>
        <w:bCs/>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rsid w:val="00183baf"/>
    <w:pPr>
      <w:spacing w:line="360" w:lineRule="atLeast"/>
      <w:jc w:val="both"/>
    </w:pPr>
    <w:tblStylePr w:type="firstRow">
      <w:rPr>
        <w:b/>
        <w:bCs/>
      </w:rPr>
      <w:tblPr/>
      <w:tcPr>
        <w:tcBorders>
          <w:bottom w:val="single" w:color="000000" w:sz="12" w:space="0"/>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1c">
    <w:name w:val="Стандартная таблица11"/>
    <w:basedOn w:val="a3"/>
    <w:rsid w:val="00183baf"/>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11a">
    <w:name w:val="Классическая таблица 111"/>
    <w:basedOn w:val="a3"/>
    <w:rsid w:val="00183baf"/>
    <w:pPr>
      <w:spacing w:before="120" w:after="120"/>
      <w:jc w:val="both"/>
    </w:p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1b">
    <w:name w:val="Простая таблица 111"/>
    <w:basedOn w:val="a3"/>
    <w:rsid w:val="00183baf"/>
    <w:pPr>
      <w:spacing w:before="120" w:after="12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113">
    <w:name w:val="Изящная таблица 211"/>
    <w:basedOn w:val="a3"/>
    <w:rsid w:val="00183baf"/>
    <w:pPr>
      <w:spacing w:before="120" w:after="12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10">
    <w:name w:val="Веб-таблица 111"/>
    <w:basedOn w:val="a3"/>
    <w:rsid w:val="00183baf"/>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2110">
    <w:name w:val="Веб-таблица 211"/>
    <w:basedOn w:val="a3"/>
    <w:rsid w:val="00183baf"/>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311">
    <w:name w:val="Веб-таблица 311"/>
    <w:basedOn w:val="a3"/>
    <w:rsid w:val="00183baf"/>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tblPr/>
      <w:tcPr>
        <w:tcBorders>
          <w:tl2br w:val="none" w:color="auto" w:sz="0" w:space="0"/>
          <w:tr2bl w:val="none" w:color="auto" w:sz="0" w:space="0"/>
        </w:tcBorders>
      </w:tcPr>
    </w:tblStylePr>
  </w:style>
  <w:style w:type="table" w:customStyle="1" w:styleId="11d">
    <w:name w:val="Изысканная таблица11"/>
    <w:basedOn w:val="a3"/>
    <w:rsid w:val="00183baf"/>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rPr>
      <w:tblPr/>
      <w:tcPr>
        <w:tcBorders>
          <w:tl2br w:val="none" w:color="auto" w:sz="0" w:space="0"/>
          <w:tr2bl w:val="none" w:color="auto" w:sz="0" w:space="0"/>
        </w:tcBorders>
      </w:tcPr>
    </w:tblStylePr>
  </w:style>
  <w:style w:type="table" w:customStyle="1" w:styleId="111c">
    <w:name w:val="Изящная таблица 111"/>
    <w:basedOn w:val="a3"/>
    <w:rsid w:val="00183baf"/>
    <w:pPr>
      <w:spacing w:before="120" w:after="12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4">
    <w:name w:val="Классическая таблица 211"/>
    <w:basedOn w:val="a3"/>
    <w:rsid w:val="00183baf"/>
    <w:pPr>
      <w:spacing w:before="120" w:after="120"/>
      <w:jc w:val="both"/>
    </w:pPr>
    <w:tblPr>
      <w:tblBorders>
        <w:top w:val="single" w:color="000000" w:sz="12" w:space="0"/>
        <w:bottom w:val="single" w:color="000000" w:sz="12" w:space="0"/>
      </w:tblBorders>
    </w:tblPr>
    <w:tcPr>
      <w:shd w:val="clear" w:color="auto" w:fill="auto"/>
    </w:tcPr>
    <w:tblStylePr w:type="firstRow">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tblPr/>
      <w:tcPr>
        <w:tcBorders>
          <w:tl2br w:val="none" w:color="auto" w:sz="0" w:space="0"/>
          <w:tr2bl w:val="none" w:color="auto" w:sz="0" w:space="0"/>
        </w:tcBorders>
      </w:tcPr>
    </w:tblStylePr>
  </w:style>
  <w:style w:type="table" w:customStyle="1" w:styleId="111d">
    <w:name w:val="Сетка таблицы111"/>
    <w:basedOn w:val="a3"/>
    <w:rsid w:val="00183ba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5">
    <w:name w:val="Сетка таблицы211"/>
    <w:basedOn w:val="a3"/>
    <w:rsid w:val="00183ba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0">
    <w:name w:val="Сетка таблицы 811"/>
    <w:basedOn w:val="a3"/>
    <w:rsid w:val="00183baf"/>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rPr>
      <w:tblPr/>
      <w:tcPr>
        <w:tcBorders>
          <w:tl2br w:val="none" w:color="auto" w:sz="0" w:space="0"/>
          <w:tr2bl w:val="none" w:color="auto" w:sz="0" w:space="0"/>
        </w:tcBorders>
        <w:shd w:val="solid" w:color="00008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2116">
    <w:name w:val="Сетка таблицы 211"/>
    <w:basedOn w:val="a3"/>
    <w:rsid w:val="00183baf"/>
    <w:pPr>
      <w:spacing w:before="120" w:after="120"/>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11e">
    <w:name w:val="Сетка таблицы 111"/>
    <w:basedOn w:val="a3"/>
    <w:rsid w:val="00183baf"/>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411">
    <w:name w:val="Средняя заливка 2 - Акцент 411"/>
    <w:basedOn w:val="a3"/>
    <w:uiPriority w:val="64"/>
    <w:rsid w:val="00183baf"/>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1310">
    <w:name w:val="Средний список 131"/>
    <w:basedOn w:val="a3"/>
    <w:uiPriority w:val="65"/>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uiPriority w:val="65"/>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uiPriority w:val="65"/>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tblPr>
      <w:tblStyleRowBandSize w:val="1"/>
      <w:tblStyleColBandSize w:val="1"/>
      <w:tblBorders>
        <w:top w:val="single" w:color="000000" w:sz="8" w:space="0"/>
        <w:bottom w:val="single" w:color="000000" w:sz="8" w:space="0"/>
      </w:tblBorders>
    </w:tblPr>
    <w:tblStylePr w:type="firstRow">
      <w:rPr/>
      <w:tblPr/>
      <w:tcPr>
        <w:tcBorders>
          <w:top w:val="nil"/>
          <w:bottom w:val="single" w:color="000000" w:sz="8" w:space="0"/>
        </w:tcBorders>
      </w:tcPr>
    </w:tblStylePr>
    <w:tblStylePr w:type="lastRow">
      <w:rPr>
        <w:b/>
        <w:bCs/>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uiPriority w:val="60"/>
    <w:rsid w:val="00183baf"/>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rsid w:val="00183baf"/>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72">
    <w:name w:val="Светлая заливка117"/>
    <w:basedOn w:val="a3"/>
    <w:uiPriority w:val="60"/>
    <w:rsid w:val="00b9429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
    <w:name w:val="Простая таблица 311"/>
    <w:basedOn w:val="a3"/>
    <w:rsid w:val="00651b11"/>
    <w:pPr>
      <w:spacing w:before="120" w:after="12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111110">
    <w:name w:val="Светлая заливка111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eastAsiaTheme="minorHAnsi" w:cstheme="minorBidi"/>
      <w:lang w:eastAsia="en-US"/>
      <w:sz w:val="18"/>
      <w:szCs w:val="22"/>
    </w:rPr>
    <w:tblPr>
      <w:tblStyleRowBandSize w:val="1"/>
      <w:tblStyleColBandSize w:val="1"/>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2-4111">
    <w:name w:val="Средняя заливка 2 - Акцент 4111"/>
    <w:basedOn w:val="a3"/>
    <w:uiPriority w:val="64"/>
    <w:rsid w:val="00651b11"/>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191">
    <w:name w:val="Светлая заливка19"/>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rsid w:val="00651b11"/>
    <w:pPr>
      <w:spacing w:before="120" w:after="120" w:line="360" w:lineRule="auto"/>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2-43">
    <w:name w:val="Средняя заливка 2 - Акцент 43"/>
    <w:basedOn w:val="a3"/>
    <w:uiPriority w:val="64"/>
    <w:rsid w:val="00651b11"/>
    <w:pPr>
      <w:spacing w:line="360" w:lineRule="auto"/>
      <w:jc w:val="both"/>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422">
    <w:name w:val="Светлая заливка42"/>
    <w:basedOn w:val="a3"/>
    <w:uiPriority w:val="60"/>
    <w:rsid w:val="00651b11"/>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uiPriority w:val="64"/>
    <w:rsid w:val="00651b11"/>
    <w:pPr>
      <w:spacing w:line="360" w:lineRule="auto"/>
      <w:jc w:val="both"/>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342">
    <w:name w:val="Светлая заливка34"/>
    <w:basedOn w:val="a3"/>
    <w:uiPriority w:val="60"/>
    <w:rsid w:val="00651b11"/>
    <w:pPr>
      <w:spacing w:line="360" w:lineRule="auto"/>
      <w:jc w:val="both"/>
    </w:pPr>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jc w:val="both"/>
    </w:pPr>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jc w:val="both"/>
    </w:pPr>
    <w:rPr>
      <w:rFonts w:asciiTheme="minorHAnsi" w:hAnsiTheme="minorHAnsi" w:eastAsiaTheme="minorHAnsi" w:cstheme="minorBidi"/>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jc w:val="both"/>
    </w:pPr>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2">
    <w:name w:val="Светлая заливка1162"/>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rsid w:val="00651b11"/>
    <w:pPr>
      <w:spacing w:before="120" w:after="12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2-421">
    <w:name w:val="Средняя заливка 2 - Акцент 421"/>
    <w:basedOn w:val="a3"/>
    <w:uiPriority w:val="64"/>
    <w:rsid w:val="00651b11"/>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themeColor="background1"/>
      </w:rPr>
      <w:tblPr/>
      <w:tcPr>
        <w:tcBorders>
          <w:top w:val="single" w:color="auto" w:sz="18" w:space="0"/>
          <w:left w:val="nil"/>
          <w:bottom w:val="single" w:color="auto" w:sz="18" w:space="0"/>
          <w:right w:val="nil"/>
          <w:insideH w:val="nil"/>
          <w:insideV w:val="nil"/>
        </w:tcBorders>
      </w:tcPr>
    </w:tblStylePr>
  </w:style>
  <w:style w:type="table" w:customStyle="1" w:styleId="1212">
    <w:name w:val="Светлая заливка1212"/>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eastAsiaTheme="minorHAnsi" w:cstheme="minorBidi"/>
      <w:lang w:eastAsia="en-US"/>
      <w:sz w:val="18"/>
      <w:szCs w:val="22"/>
    </w:rPr>
    <w:tblPr>
      <w:tblStyleRowBandSize w:val="1"/>
      <w:tblStyleColBandSize w:val="1"/>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2-4112">
    <w:name w:val="Средняя заливка 2 - Акцент 4112"/>
    <w:basedOn w:val="a3"/>
    <w:uiPriority w:val="64"/>
    <w:rsid w:val="00651b11"/>
    <w:tblPr>
      <w:tblStyleRowBandSize w:val="1"/>
      <w:tblStyleColBandSize w:val="1"/>
      <w:tblBorders>
        <w:top w:val="single" w:color="auto" w:sz="18" w:space="0"/>
        <w:bottom w:val="single" w:color="auto" w:sz="18" w:space="0"/>
      </w:tblBorders>
    </w:tblPr>
    <w:tblStylePr w:type="firstRow">
      <w:pPr>
        <w:spacing w:before="0" w:after="0" w:line="240" w:lineRule="auto"/>
      </w:pPr>
      <w:rPr>
        <w:b/>
        <w:bCs/>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rPr>
      <w:tblPr/>
      <w:tcPr>
        <w:tcBorders>
          <w:top w:val="nil"/>
          <w:left w:val="nil"/>
          <w:bottom w:val="single" w:color="auto" w:sz="18" w:space="0"/>
          <w:right w:val="nil"/>
          <w:insideH w:val="nil"/>
          <w:insideV w:val="nil"/>
        </w:tcBorders>
        <w:shd w:val="clear" w:color="auto" w:fill="8064A2"/>
      </w:tcPr>
    </w:tblStylePr>
    <w:tblStylePr w:type="lastCol">
      <w:rPr>
        <w:b/>
        <w:bCs/>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tblPr/>
      <w:tcPr>
        <w:tcBorders>
          <w:top w:val="single" w:color="auto" w:sz="18" w:space="0"/>
          <w:left w:val="nil"/>
          <w:bottom w:val="single" w:color="auto" w:sz="18" w:space="0"/>
          <w:right w:val="nil"/>
          <w:insideH w:val="nil"/>
          <w:insideV w:val="nil"/>
        </w:tcBorders>
      </w:tcPr>
    </w:tblStylePr>
  </w:style>
  <w:style w:type="table" w:customStyle="1" w:styleId="4111">
    <w:name w:val="Светлая заливка41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uiPriority w:val="60"/>
    <w:rsid w:val="00651b11"/>
    <w:rPr>
      <w:lang w:eastAsia="en-US"/>
      <w:sz w:val="22"/>
      <w:szCs w:val="22"/>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lang w:eastAsia="en-US"/>
      <w:color w:themeColor="text1" w:themeShade="bf"/>
      <w:sz w:val="22"/>
      <w:szCs w:val="22"/>
    </w:rPr>
    <w:tblPr>
      <w:tblStyleRowBandSize w:val="1"/>
      <w:tblStyleColBandSize w:val="1"/>
      <w:tblBorders>
        <w:top w:val="single" w:color="000000" w:themeColor="text1" w:sz="8" w:space="0"/>
        <w:bottom w:val="single" w:color="000000" w:themeColor="text1" w:sz="8" w:space="0"/>
      </w:tblBorders>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01">
    <w:name w:val="Светлая заливка110"/>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sz w:val="18"/>
    </w:rPr>
    <w:tblPr>
      <w:tblStyleRowBandSize w:val="1"/>
      <w:tblStyleColBandSize w:val="1"/>
      <w:tblBorders>
        <w:top w:val="single" w:color="000000" w:sz="8" w:space="0"/>
        <w:bottom w:val="single" w:color="000000" w:sz="8" w:space="0"/>
      </w:tblBorders>
    </w:tblPr>
    <w:tcPr>
      <w:tcMar>
        <w:left w:w="0" w:type="dxa"/>
        <w:right w:w="0" w:type="dxa"/>
      </w:tcMar>
      <w:vAlign w:val="center"/>
    </w:tc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0">
    <w:name w:val="Светлая заливка120"/>
    <w:basedOn w:val="a3"/>
    <w:uiPriority w:val="60"/>
    <w:rsid w:val="00651b11"/>
    <w:rPr>
      <w:color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sz w:val="18"/>
    </w:rPr>
    <w:tblPr>
      <w:tblStyleRowBandSize w:val="1"/>
      <w:tblStyleColBandSize w:val="1"/>
      <w:tblBorders>
        <w:top w:val="single" w:color="000000" w:sz="8" w:space="0"/>
        <w:bottom w:val="single" w:color="000000" w:sz="8" w:space="0"/>
      </w:tblBorders>
    </w:tblPr>
    <w:tcPr>
      <w:tcMar>
        <w:left w:w="0" w:type="dxa"/>
        <w:right w:w="0" w:type="dxa"/>
      </w:tcMar>
      <w:vAlign w:val="center"/>
    </w:tc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3">
    <w:name w:val="Сетка таблицы9"/>
    <w:basedOn w:val="a3"/>
    <w:uiPriority w:val="59"/>
    <w:rsid w:val="00964952"/>
    <w:rPr>
      <w:rFonts w:eastAsiaTheme="minorEastAsia"/>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176">
    <w:name w:val="Сетка таблицы17"/>
    <w:basedOn w:val="a3"/>
    <w:uiPriority w:val="59"/>
    <w:rsid w:val="00964952"/>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
    <w:name w:val="Сетка таблицы10"/>
    <w:basedOn w:val="a3"/>
    <w:uiPriority w:val="59"/>
    <w:rsid w:val="00964952"/>
    <w:rPr>
      <w:rFonts w:eastAsiaTheme="minorEastAsia"/>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186">
    <w:name w:val="Сетка таблицы18"/>
    <w:basedOn w:val="a3"/>
    <w:uiPriority w:val="59"/>
    <w:rsid w:val="00964952"/>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
    <w:name w:val="Простая таблица 33"/>
    <w:basedOn w:val="a3"/>
    <w:rsid w:val="00324674"/>
    <w:pPr>
      <w:spacing w:before="120" w:after="12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2-44">
    <w:name w:val="Средняя заливка 2 - Акцент 44"/>
    <w:basedOn w:val="a3"/>
    <w:uiPriority w:val="64"/>
    <w:rsid w:val="00324674"/>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themeColor="background1"/>
      </w:rPr>
      <w:tblPr/>
      <w:tcPr>
        <w:tcBorders>
          <w:top w:val="single" w:color="auto" w:sz="18" w:space="0"/>
          <w:left w:val="nil"/>
          <w:bottom w:val="single" w:color="auto" w:sz="18" w:space="0"/>
          <w:right w:val="nil"/>
          <w:insideH w:val="nil"/>
          <w:insideV w:val="nil"/>
        </w:tcBorders>
      </w:tcPr>
    </w:tblStylePr>
  </w:style>
  <w:style w:type="table" w:customStyle="1" w:styleId="192">
    <w:name w:val="Сетка таблицы19"/>
    <w:basedOn w:val="a3"/>
    <w:uiPriority w:val="59"/>
    <w:rsid w:val="00a46bf2"/>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
    <w:name w:val="Сетка таблицы20"/>
    <w:basedOn w:val="a3"/>
    <w:uiPriority w:val="39"/>
    <w:rsid w:val="00172cfd"/>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
    <w:name w:val="Сетка таблицы27"/>
    <w:basedOn w:val="a3"/>
    <w:uiPriority w:val="39"/>
    <w:rsid w:val="00172cfd"/>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
    <w:name w:val="Простая таблица 34"/>
    <w:basedOn w:val="a3"/>
    <w:rsid w:val="008a71d5"/>
    <w:pPr>
      <w:spacing w:before="120" w:after="12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rPr>
      <w:tblPr/>
      <w:tcPr>
        <w:tcBorders>
          <w:tl2br w:val="none" w:color="auto" w:sz="0" w:space="0"/>
          <w:tr2bl w:val="none" w:color="auto" w:sz="0" w:space="0"/>
        </w:tcBorders>
        <w:shd w:val="solid" w:color="000000" w:fill="FFFFFF"/>
      </w:tcPr>
    </w:tblStylePr>
  </w:style>
  <w:style w:type="table" w:customStyle="1" w:styleId="2-45">
    <w:name w:val="Средняя заливка 2 - Акцент 45"/>
    <w:basedOn w:val="a3"/>
    <w:uiPriority w:val="64"/>
    <w:rsid w:val="008a71d5"/>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themeColor="background1"/>
      </w:rPr>
      <w:tblPr/>
      <w:tcPr>
        <w:tcBorders>
          <w:top w:val="single" w:color="auto" w:sz="18" w:space="0"/>
          <w:left w:val="nil"/>
          <w:bottom w:val="single" w:color="auto" w:sz="18" w:space="0"/>
          <w:right w:val="nil"/>
          <w:insideH w:val="nil"/>
          <w:insideV w:val="nil"/>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header" Target="header3.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header" Target="header4.xml"/><Relationship Id="rId13" Type="http://schemas.openxmlformats.org/officeDocument/2006/relationships/header" Target="header5.xml"/><Relationship Id="rId14" Type="http://schemas.openxmlformats.org/officeDocument/2006/relationships/footer" Target="footer4.xml"/><Relationship Id="rId15" Type="http://schemas.openxmlformats.org/officeDocument/2006/relationships/footer" Target="footer5.xml"/><Relationship Id="rId16" Type="http://schemas.openxmlformats.org/officeDocument/2006/relationships/header" Target="header6.xml"/><Relationship Id="rId17" Type="http://schemas.openxmlformats.org/officeDocument/2006/relationships/header" Target="header7.xml"/><Relationship Id="rId18" Type="http://schemas.openxmlformats.org/officeDocument/2006/relationships/footer" Target="footer6.xml"/><Relationship Id="rId19" Type="http://schemas.openxmlformats.org/officeDocument/2006/relationships/footer" Target="footer7.xml"/><Relationship Id="rId20" Type="http://schemas.openxmlformats.org/officeDocument/2006/relationships/chart" Target="charts/chart1.xml"/><Relationship Id="rId21" Type="http://schemas.openxmlformats.org/officeDocument/2006/relationships/image" Target="media/image5.png"/><Relationship Id="rId22" Type="http://schemas.openxmlformats.org/officeDocument/2006/relationships/header" Target="header8.xml"/><Relationship Id="rId23" Type="http://schemas.openxmlformats.org/officeDocument/2006/relationships/header" Target="header9.xml"/><Relationship Id="rId24" Type="http://schemas.openxmlformats.org/officeDocument/2006/relationships/footer" Target="footer8.xml"/><Relationship Id="rId25" Type="http://schemas.openxmlformats.org/officeDocument/2006/relationships/footer" Target="footer9.xml"/><Relationship Id="rId26" Type="http://schemas.openxmlformats.org/officeDocument/2006/relationships/header" Target="header10.xml"/><Relationship Id="rId27" Type="http://schemas.openxmlformats.org/officeDocument/2006/relationships/header" Target="header11.xml"/><Relationship Id="rId28" Type="http://schemas.openxmlformats.org/officeDocument/2006/relationships/footer" Target="footer10.xml"/><Relationship Id="rId29" Type="http://schemas.openxmlformats.org/officeDocument/2006/relationships/footer" Target="footer11.xml"/><Relationship Id="rId30" Type="http://schemas.openxmlformats.org/officeDocument/2006/relationships/footer" Target="footer12.xml"/><Relationship Id="rId31" Type="http://schemas.openxmlformats.org/officeDocument/2006/relationships/image" Target="media/image6.jpe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header" Target="header12.xml"/><Relationship Id="rId37" Type="http://schemas.openxmlformats.org/officeDocument/2006/relationships/header" Target="header13.xml"/><Relationship Id="rId38" Type="http://schemas.openxmlformats.org/officeDocument/2006/relationships/footer" Target="footer13.xml"/><Relationship Id="rId39" Type="http://schemas.openxmlformats.org/officeDocument/2006/relationships/footer" Target="footer14.xml"/><Relationship Id="rId40" Type="http://schemas.openxmlformats.org/officeDocument/2006/relationships/header" Target="header14.xml"/><Relationship Id="rId41" Type="http://schemas.openxmlformats.org/officeDocument/2006/relationships/header" Target="header15.xml"/><Relationship Id="rId42" Type="http://schemas.openxmlformats.org/officeDocument/2006/relationships/footer" Target="footer15.xml"/><Relationship Id="rId43" Type="http://schemas.openxmlformats.org/officeDocument/2006/relationships/footer" Target="footer16.xml"/><Relationship Id="rId44" Type="http://schemas.openxmlformats.org/officeDocument/2006/relationships/header" Target="header16.xml"/><Relationship Id="rId45" Type="http://schemas.openxmlformats.org/officeDocument/2006/relationships/header" Target="header17.xml"/><Relationship Id="rId46" Type="http://schemas.openxmlformats.org/officeDocument/2006/relationships/footer" Target="footer17.xml"/><Relationship Id="rId47" Type="http://schemas.openxmlformats.org/officeDocument/2006/relationships/footer" Target="footer18.xml"/><Relationship Id="rId48" Type="http://schemas.openxmlformats.org/officeDocument/2006/relationships/footer" Target="footer19.xml"/><Relationship Id="rId49" Type="http://schemas.openxmlformats.org/officeDocument/2006/relationships/header" Target="header18.xml"/><Relationship Id="rId50" Type="http://schemas.openxmlformats.org/officeDocument/2006/relationships/header" Target="header19.xml"/><Relationship Id="rId51" Type="http://schemas.openxmlformats.org/officeDocument/2006/relationships/footer" Target="footer20.xml"/><Relationship Id="rId52" Type="http://schemas.openxmlformats.org/officeDocument/2006/relationships/footer" Target="footer21.xml"/><Relationship Id="rId53" Type="http://schemas.openxmlformats.org/officeDocument/2006/relationships/image" Target="media/image11.jpeg"/><Relationship Id="rId54" Type="http://schemas.microsoft.com/office/2007/relationships/hdphoto" Target="media/hdphoto1.wdp"/><Relationship Id="rId55" Type="http://schemas.openxmlformats.org/officeDocument/2006/relationships/image" Target="media/image11.jpeg"/><Relationship Id="rId56" Type="http://schemas.openxmlformats.org/officeDocument/2006/relationships/image" Target="media/image12.jpeg"/><Relationship Id="rId57" Type="http://schemas.microsoft.com/office/2007/relationships/hdphoto" Target="media/hdphoto2.wdp"/><Relationship Id="rId58" Type="http://schemas.openxmlformats.org/officeDocument/2006/relationships/image" Target="media/image12.jpeg"/><Relationship Id="rId59" Type="http://schemas.openxmlformats.org/officeDocument/2006/relationships/image" Target="media/image13.jpeg"/><Relationship Id="rId60" Type="http://schemas.microsoft.com/office/2007/relationships/hdphoto" Target="media/hdphoto3.wdp"/><Relationship Id="rId61" Type="http://schemas.openxmlformats.org/officeDocument/2006/relationships/image" Target="media/image13.jpeg"/><Relationship Id="rId62" Type="http://schemas.openxmlformats.org/officeDocument/2006/relationships/image" Target="media/image14.jpeg"/><Relationship Id="rId63" Type="http://schemas.openxmlformats.org/officeDocument/2006/relationships/image" Target="media/image15.jpeg"/><Relationship Id="rId64" Type="http://schemas.openxmlformats.org/officeDocument/2006/relationships/image" Target="media/image16.jpeg"/><Relationship Id="rId65" Type="http://schemas.openxmlformats.org/officeDocument/2006/relationships/image" Target="media/image17.jpeg"/><Relationship Id="rId66" Type="http://schemas.openxmlformats.org/officeDocument/2006/relationships/header" Target="header20.xml"/><Relationship Id="rId67" Type="http://schemas.openxmlformats.org/officeDocument/2006/relationships/header" Target="header21.xml"/><Relationship Id="rId68" Type="http://schemas.openxmlformats.org/officeDocument/2006/relationships/footer" Target="footer22.xml"/><Relationship Id="rId69" Type="http://schemas.openxmlformats.org/officeDocument/2006/relationships/footer" Target="footer23.xml"/><Relationship Id="rId70" Type="http://schemas.openxmlformats.org/officeDocument/2006/relationships/header" Target="header22.xml"/><Relationship Id="rId71" Type="http://schemas.openxmlformats.org/officeDocument/2006/relationships/header" Target="header23.xml"/><Relationship Id="rId72" Type="http://schemas.openxmlformats.org/officeDocument/2006/relationships/footer" Target="footer24.xml"/><Relationship Id="rId73" Type="http://schemas.openxmlformats.org/officeDocument/2006/relationships/footer" Target="footer25.xml"/><Relationship Id="rId74" Type="http://schemas.openxmlformats.org/officeDocument/2006/relationships/image" Target="media/image18.jpeg"/><Relationship Id="rId75" Type="http://schemas.openxmlformats.org/officeDocument/2006/relationships/chart" Target="charts/chart2.xml"/><Relationship Id="rId76" Type="http://schemas.openxmlformats.org/officeDocument/2006/relationships/image" Target="media/image19.png"/><Relationship Id="rId77" Type="http://schemas.openxmlformats.org/officeDocument/2006/relationships/image" Target="media/image20.png"/><Relationship Id="rId78" Type="http://schemas.openxmlformats.org/officeDocument/2006/relationships/header" Target="header24.xml"/><Relationship Id="rId79" Type="http://schemas.openxmlformats.org/officeDocument/2006/relationships/header" Target="header25.xml"/><Relationship Id="rId80" Type="http://schemas.openxmlformats.org/officeDocument/2006/relationships/footer" Target="footer26.xml"/><Relationship Id="rId81" Type="http://schemas.openxmlformats.org/officeDocument/2006/relationships/footer" Target="footer27.xml"/><Relationship Id="rId82" Type="http://schemas.openxmlformats.org/officeDocument/2006/relationships/header" Target="header26.xml"/><Relationship Id="rId83" Type="http://schemas.openxmlformats.org/officeDocument/2006/relationships/header" Target="header27.xml"/><Relationship Id="rId84" Type="http://schemas.openxmlformats.org/officeDocument/2006/relationships/footer" Target="footer28.xml"/><Relationship Id="rId85" Type="http://schemas.openxmlformats.org/officeDocument/2006/relationships/footer" Target="footer29.xml"/><Relationship Id="rId86" Type="http://schemas.openxmlformats.org/officeDocument/2006/relationships/header" Target="header28.xml"/><Relationship Id="rId87" Type="http://schemas.openxmlformats.org/officeDocument/2006/relationships/header" Target="header29.xml"/><Relationship Id="rId88" Type="http://schemas.openxmlformats.org/officeDocument/2006/relationships/footer" Target="footer30.xml"/><Relationship Id="rId89" Type="http://schemas.openxmlformats.org/officeDocument/2006/relationships/footer" Target="footer31.xml"/><Relationship Id="rId90" Type="http://schemas.openxmlformats.org/officeDocument/2006/relationships/header" Target="header30.xml"/><Relationship Id="rId91" Type="http://schemas.openxmlformats.org/officeDocument/2006/relationships/header" Target="header31.xml"/><Relationship Id="rId92" Type="http://schemas.openxmlformats.org/officeDocument/2006/relationships/footer" Target="footer32.xml"/><Relationship Id="rId93" Type="http://schemas.openxmlformats.org/officeDocument/2006/relationships/footer" Target="footer33.xml"/><Relationship Id="rId94" Type="http://schemas.openxmlformats.org/officeDocument/2006/relationships/header" Target="header32.xml"/><Relationship Id="rId95" Type="http://schemas.openxmlformats.org/officeDocument/2006/relationships/header" Target="header33.xml"/><Relationship Id="rId96" Type="http://schemas.openxmlformats.org/officeDocument/2006/relationships/footer" Target="footer34.xml"/><Relationship Id="rId97" Type="http://schemas.openxmlformats.org/officeDocument/2006/relationships/footer" Target="footer35.xml"/><Relationship Id="rId98" Type="http://schemas.openxmlformats.org/officeDocument/2006/relationships/footer" Target="footer36.xml"/><Relationship Id="rId99" Type="http://schemas.openxmlformats.org/officeDocument/2006/relationships/image" Target="media/image21.jpeg"/><Relationship Id="rId100" Type="http://schemas.openxmlformats.org/officeDocument/2006/relationships/image" Target="media/image22.jpeg"/><Relationship Id="rId101" Type="http://schemas.openxmlformats.org/officeDocument/2006/relationships/image" Target="media/image23.png"/><Relationship Id="rId102" Type="http://schemas.openxmlformats.org/officeDocument/2006/relationships/image" Target="media/image24.png"/><Relationship Id="rId103" Type="http://schemas.openxmlformats.org/officeDocument/2006/relationships/image" Target="media/image25.png"/><Relationship Id="rId104" Type="http://schemas.openxmlformats.org/officeDocument/2006/relationships/image" Target="media/image26.png"/><Relationship Id="rId105" Type="http://schemas.openxmlformats.org/officeDocument/2006/relationships/image" Target="media/image27.jpeg"/><Relationship Id="rId106" Type="http://schemas.openxmlformats.org/officeDocument/2006/relationships/image" Target="media/image28.jpeg"/><Relationship Id="rId107" Type="http://schemas.openxmlformats.org/officeDocument/2006/relationships/image" Target="media/image29.jpeg"/><Relationship Id="rId108" Type="http://schemas.openxmlformats.org/officeDocument/2006/relationships/image" Target="media/image30.jpeg"/><Relationship Id="rId109" Type="http://schemas.openxmlformats.org/officeDocument/2006/relationships/image" Target="media/image31.jpeg"/><Relationship Id="rId110" Type="http://schemas.openxmlformats.org/officeDocument/2006/relationships/image" Target="media/image32.jpeg"/><Relationship Id="rId111" Type="http://schemas.openxmlformats.org/officeDocument/2006/relationships/image" Target="media/image33.jpeg"/><Relationship Id="rId112" Type="http://schemas.openxmlformats.org/officeDocument/2006/relationships/image" Target="media/image34.jpeg"/><Relationship Id="rId113" Type="http://schemas.openxmlformats.org/officeDocument/2006/relationships/image" Target="media/image35.jpeg"/><Relationship Id="rId114" Type="http://schemas.openxmlformats.org/officeDocument/2006/relationships/image" Target="media/image36.jpeg"/><Relationship Id="rId115" Type="http://schemas.openxmlformats.org/officeDocument/2006/relationships/image" Target="media/image37.jpeg"/><Relationship Id="rId116" Type="http://schemas.openxmlformats.org/officeDocument/2006/relationships/image" Target="media/image38.jpeg"/><Relationship Id="rId117" Type="http://schemas.openxmlformats.org/officeDocument/2006/relationships/image" Target="media/image39.jpeg"/><Relationship Id="rId118" Type="http://schemas.openxmlformats.org/officeDocument/2006/relationships/image" Target="media/image40.jpeg"/><Relationship Id="rId119" Type="http://schemas.openxmlformats.org/officeDocument/2006/relationships/image" Target="media/image41.jpeg"/><Relationship Id="rId120" Type="http://schemas.openxmlformats.org/officeDocument/2006/relationships/image" Target="media/image42.jpeg"/><Relationship Id="rId121" Type="http://schemas.openxmlformats.org/officeDocument/2006/relationships/header" Target="header34.xml"/><Relationship Id="rId122" Type="http://schemas.openxmlformats.org/officeDocument/2006/relationships/header" Target="header35.xml"/><Relationship Id="rId123" Type="http://schemas.openxmlformats.org/officeDocument/2006/relationships/footer" Target="footer37.xml"/><Relationship Id="rId124" Type="http://schemas.openxmlformats.org/officeDocument/2006/relationships/footer" Target="footer38.xml"/><Relationship Id="rId125" Type="http://schemas.openxmlformats.org/officeDocument/2006/relationships/header" Target="header36.xml"/><Relationship Id="rId126" Type="http://schemas.openxmlformats.org/officeDocument/2006/relationships/header" Target="header37.xml"/><Relationship Id="rId127" Type="http://schemas.openxmlformats.org/officeDocument/2006/relationships/footer" Target="footer39.xml"/><Relationship Id="rId128" Type="http://schemas.openxmlformats.org/officeDocument/2006/relationships/footer" Target="footer40.xml"/><Relationship Id="rId129" Type="http://schemas.openxmlformats.org/officeDocument/2006/relationships/image" Target="media/image43.png"/><Relationship Id="rId130" Type="http://schemas.openxmlformats.org/officeDocument/2006/relationships/header" Target="header38.xml"/><Relationship Id="rId131" Type="http://schemas.openxmlformats.org/officeDocument/2006/relationships/header" Target="header39.xml"/><Relationship Id="rId132" Type="http://schemas.openxmlformats.org/officeDocument/2006/relationships/footer" Target="footer41.xml"/><Relationship Id="rId133" Type="http://schemas.openxmlformats.org/officeDocument/2006/relationships/footer" Target="footer42.xml"/><Relationship Id="rId134" Type="http://schemas.openxmlformats.org/officeDocument/2006/relationships/footer" Target="footer43.xml"/><Relationship Id="rId135" Type="http://schemas.openxmlformats.org/officeDocument/2006/relationships/header" Target="header40.xml"/><Relationship Id="rId136" Type="http://schemas.openxmlformats.org/officeDocument/2006/relationships/header" Target="header41.xml"/><Relationship Id="rId137" Type="http://schemas.openxmlformats.org/officeDocument/2006/relationships/footer" Target="footer44.xml"/><Relationship Id="rId138" Type="http://schemas.openxmlformats.org/officeDocument/2006/relationships/footer" Target="footer45.xml"/><Relationship Id="rId139" Type="http://schemas.openxmlformats.org/officeDocument/2006/relationships/image" Target="media/image44.png"/><Relationship Id="rId140" Type="http://schemas.openxmlformats.org/officeDocument/2006/relationships/image" Target="media/image45.png"/><Relationship Id="rId141" Type="http://schemas.openxmlformats.org/officeDocument/2006/relationships/image" Target="media/image46.png"/><Relationship Id="rId142" Type="http://schemas.openxmlformats.org/officeDocument/2006/relationships/image" Target="media/image47.png"/><Relationship Id="rId143" Type="http://schemas.openxmlformats.org/officeDocument/2006/relationships/image" Target="media/image48.jpeg"/><Relationship Id="rId144" Type="http://schemas.openxmlformats.org/officeDocument/2006/relationships/image" Target="media/image49.jpeg"/><Relationship Id="rId145" Type="http://schemas.openxmlformats.org/officeDocument/2006/relationships/image" Target="media/image50.jpeg"/><Relationship Id="rId146" Type="http://schemas.openxmlformats.org/officeDocument/2006/relationships/image" Target="media/image51.jpeg"/><Relationship Id="rId147" Type="http://schemas.openxmlformats.org/officeDocument/2006/relationships/image" Target="media/image52.jpeg"/><Relationship Id="rId148" Type="http://schemas.openxmlformats.org/officeDocument/2006/relationships/header" Target="header42.xml"/><Relationship Id="rId149" Type="http://schemas.openxmlformats.org/officeDocument/2006/relationships/header" Target="header43.xml"/><Relationship Id="rId150" Type="http://schemas.openxmlformats.org/officeDocument/2006/relationships/footer" Target="footer46.xml"/><Relationship Id="rId151" Type="http://schemas.openxmlformats.org/officeDocument/2006/relationships/footer" Target="footer47.xml"/><Relationship Id="rId152" Type="http://schemas.openxmlformats.org/officeDocument/2006/relationships/footer" Target="footer48.xml"/><Relationship Id="rId153" Type="http://schemas.openxmlformats.org/officeDocument/2006/relationships/header" Target="header44.xml"/><Relationship Id="rId154" Type="http://schemas.openxmlformats.org/officeDocument/2006/relationships/header" Target="header45.xml"/><Relationship Id="rId155" Type="http://schemas.openxmlformats.org/officeDocument/2006/relationships/footer" Target="footer49.xml"/><Relationship Id="rId156" Type="http://schemas.openxmlformats.org/officeDocument/2006/relationships/footer" Target="footer50.xml"/><Relationship Id="rId157" Type="http://schemas.openxmlformats.org/officeDocument/2006/relationships/chart" Target="charts/chart3.xml"/><Relationship Id="rId158" Type="http://schemas.openxmlformats.org/officeDocument/2006/relationships/chart" Target="charts/chart4.xml"/><Relationship Id="rId159" Type="http://schemas.openxmlformats.org/officeDocument/2006/relationships/chart" Target="charts/chart5.xml"/><Relationship Id="rId160" Type="http://schemas.openxmlformats.org/officeDocument/2006/relationships/chart" Target="charts/chart6.xml"/><Relationship Id="rId161" Type="http://schemas.openxmlformats.org/officeDocument/2006/relationships/image" Target="media/image53.png"/><Relationship Id="rId162" Type="http://schemas.openxmlformats.org/officeDocument/2006/relationships/header" Target="header46.xml"/><Relationship Id="rId163" Type="http://schemas.openxmlformats.org/officeDocument/2006/relationships/header" Target="header47.xml"/><Relationship Id="rId164" Type="http://schemas.openxmlformats.org/officeDocument/2006/relationships/footer" Target="footer51.xml"/><Relationship Id="rId165" Type="http://schemas.openxmlformats.org/officeDocument/2006/relationships/footer" Target="footer52.xml"/><Relationship Id="rId166" Type="http://schemas.openxmlformats.org/officeDocument/2006/relationships/header" Target="header48.xml"/><Relationship Id="rId167" Type="http://schemas.openxmlformats.org/officeDocument/2006/relationships/header" Target="header49.xml"/><Relationship Id="rId168" Type="http://schemas.openxmlformats.org/officeDocument/2006/relationships/footer" Target="footer53.xml"/><Relationship Id="rId169" Type="http://schemas.openxmlformats.org/officeDocument/2006/relationships/footer" Target="footer54.xml"/><Relationship Id="rId170" Type="http://schemas.openxmlformats.org/officeDocument/2006/relationships/header" Target="header50.xml"/><Relationship Id="rId171" Type="http://schemas.openxmlformats.org/officeDocument/2006/relationships/header" Target="header51.xml"/><Relationship Id="rId172" Type="http://schemas.openxmlformats.org/officeDocument/2006/relationships/footer" Target="footer55.xml"/><Relationship Id="rId173" Type="http://schemas.openxmlformats.org/officeDocument/2006/relationships/footer" Target="footer56.xml"/><Relationship Id="rId174" Type="http://schemas.openxmlformats.org/officeDocument/2006/relationships/image" Target="media/image54.png"/><Relationship Id="rId175" Type="http://schemas.microsoft.com/office/2007/relationships/hdphoto" Target="media/hdphoto4.wdp"/><Relationship Id="rId176" Type="http://schemas.openxmlformats.org/officeDocument/2006/relationships/image" Target="media/image54.png"/><Relationship Id="rId177" Type="http://schemas.openxmlformats.org/officeDocument/2006/relationships/header" Target="header52.xml"/><Relationship Id="rId178" Type="http://schemas.openxmlformats.org/officeDocument/2006/relationships/header" Target="header53.xml"/><Relationship Id="rId179" Type="http://schemas.openxmlformats.org/officeDocument/2006/relationships/footer" Target="footer57.xml"/><Relationship Id="rId180" Type="http://schemas.openxmlformats.org/officeDocument/2006/relationships/footer" Target="footer58.xml"/><Relationship Id="rId181" Type="http://schemas.openxmlformats.org/officeDocument/2006/relationships/header" Target="header54.xml"/><Relationship Id="rId182" Type="http://schemas.openxmlformats.org/officeDocument/2006/relationships/header" Target="header55.xml"/><Relationship Id="rId183" Type="http://schemas.openxmlformats.org/officeDocument/2006/relationships/footer" Target="footer59.xml"/><Relationship Id="rId184" Type="http://schemas.openxmlformats.org/officeDocument/2006/relationships/footer" Target="footer60.xml"/><Relationship Id="rId185" Type="http://schemas.openxmlformats.org/officeDocument/2006/relationships/numbering" Target="numbering.xml"/><Relationship Id="rId186" Type="http://schemas.openxmlformats.org/officeDocument/2006/relationships/fontTable" Target="fontTable.xml"/><Relationship Id="rId187" Type="http://schemas.openxmlformats.org/officeDocument/2006/relationships/settings" Target="settings.xml"/><Relationship Id="rId188" Type="http://schemas.openxmlformats.org/officeDocument/2006/relationships/theme" Target="theme/theme1.xml"/><Relationship Id="rId189" Type="http://schemas.openxmlformats.org/officeDocument/2006/relationships/customXml" Target="../customXml/item1.xml"/>
</Relationships>
</file>

<file path=word/_rels/numbering.xml.rels><?xml version="1.0" encoding="UTF-8"?>
<Relationships xmlns="http://schemas.openxmlformats.org/package/2006/relationships"><Relationship Id="rId1" Type="http://schemas.openxmlformats.org/officeDocument/2006/relationships/image" Target="media/image55.png"/>
</Relationships>
</file>

<file path=word/charts/_rels/chart1.xml.rels><?xml version="1.0" encoding="UTF-8"?>
<Relationships xmlns="http://schemas.openxmlformats.org/package/2006/relationships"><Relationship Id="rId1" Type="http://schemas.openxmlformats.org/officeDocument/2006/relationships/package" Target="../embeddings/_____Microsoft_Excel.xlsx"/>
</Relationships>
</file>

<file path=word/charts/_rels/chart3.xml.rels><?xml version="1.0" encoding="UTF-8"?>
<Relationships xmlns="http://schemas.openxmlformats.org/package/2006/relationships"><Relationship Id="rId1" Type="http://schemas.openxmlformats.org/officeDocument/2006/relationships/package" Target="../embeddings/_____Microsoft_Excel1.xlsx"/>
</Relationships>
</file>

<file path=word/charts/_rels/chart4.xml.rels><?xml version="1.0" encoding="UTF-8"?>
<Relationships xmlns="http://schemas.openxmlformats.org/package/2006/relationships"><Relationship Id="rId1" Type="http://schemas.openxmlformats.org/officeDocument/2006/relationships/package" Target="../embeddings/_____Microsoft_Excel2.xlsx"/>
</Relationships>
</file>

<file path=word/charts/_rels/chart5.xml.rels><?xml version="1.0" encoding="UTF-8"?>
<Relationships xmlns="http://schemas.openxmlformats.org/package/2006/relationships"><Relationship Id="rId1" Type="http://schemas.openxmlformats.org/officeDocument/2006/relationships/package" Target="../embeddings/_____Microsoft_Excel3.xlsx"/>
</Relationships>
</file>

<file path=word/charts/_rels/chart6.xml.rels><?xml version="1.0" encoding="UTF-8"?>
<Relationships xmlns="http://schemas.openxmlformats.org/package/2006/relationships"><Relationship Id="rId1" Type="http://schemas.openxmlformats.org/officeDocument/2006/relationships/package" Target="../embeddings/_____Microsoft_Excel4.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20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Lbls>
            <c:numFmt formatCode="General" sourceLinked="0"/>
            <c:dLbl>
              <c:idx val="0"/>
              <c:numFmt formatCode="General" sourceLinked="0"/>
              <c:txPr>
                <a:bodyPr wrap="square"/>
                <a:lstStyle/>
                <a:p>
                  <a:pPr>
                    <a:defRPr b="1" sz="1000" strike="noStrike" u="none">
                      <a:solidFill>
                        <a:srgbClr val="000000"/>
                      </a:solidFill>
                      <a:uFillTx/>
                      <a:latin typeface="Calibri"/>
                    </a:defRPr>
                  </a:pPr>
                </a:p>
              </c:txPr>
              <c:dLblPos val="bestFit"/>
              <c:showLegendKey val="0"/>
              <c:showVal val="1"/>
              <c:showCatName val="1"/>
              <c:showSerName val="0"/>
              <c:showPercent val="0"/>
              <c:separator>; </c:separator>
            </c:dLbl>
            <c:dLbl>
              <c:idx val="1"/>
              <c:numFmt formatCode="General" sourceLinked="0"/>
              <c:txPr>
                <a:bodyPr wrap="square"/>
                <a:lstStyle/>
                <a:p>
                  <a:pPr>
                    <a:defRPr b="1" sz="1000" strike="noStrike" u="none">
                      <a:solidFill>
                        <a:srgbClr val="000000"/>
                      </a:solidFill>
                      <a:uFillTx/>
                      <a:latin typeface="Calibri"/>
                    </a:defRPr>
                  </a:pPr>
                </a:p>
              </c:txPr>
              <c:dLblPos val="bestFit"/>
              <c:showLegendKey val="0"/>
              <c:showVal val="1"/>
              <c:showCatName val="1"/>
              <c:showSerName val="0"/>
              <c:showPercent val="0"/>
              <c:separator>; </c:separator>
            </c:dLbl>
            <c:txPr>
              <a:bodyPr wrap="square"/>
              <a:lstStyle/>
              <a:p>
                <a:pPr>
                  <a:defRPr b="1" sz="1000" strike="noStrike" u="none">
                    <a:solidFill>
                      <a:srgbClr val="000000"/>
                    </a:solidFill>
                    <a:uFillTx/>
                    <a:latin typeface="Calibri"/>
                  </a:defRPr>
                </a:pPr>
              </a:p>
            </c:txPr>
            <c:dLblPos val="bestFit"/>
            <c:showLegendKey val="0"/>
            <c:showVal val="1"/>
            <c:showCatName val="0"/>
            <c:showSerName val="0"/>
            <c:showPercent val="0"/>
            <c:separator>; </c:separator>
            <c:showLeaderLines val="1"/>
          </c:dLbls>
          <c:cat>
            <c:strRef>
              <c:f>categories</c:f>
              <c:strCache>
                <c:ptCount val="2"/>
                <c:pt idx="0">
                  <c:v>ИЖФ 17%</c:v>
                </c:pt>
                <c:pt idx="1">
                  <c:v>МКД 83%</c:v>
                </c:pt>
              </c:strCache>
            </c:strRef>
          </c:cat>
          <c:val>
            <c:numRef>
              <c:f>0</c:f>
              <c:numCache>
                <c:formatCode>General</c:formatCode>
                <c:ptCount val="2"/>
                <c:pt idx="0">
                  <c:v>1137.2</c:v>
                </c:pt>
                <c:pt idx="1">
                  <c:v>5602.3</c:v>
                </c:pt>
              </c:numCache>
            </c:numRef>
          </c:val>
        </c:ser>
        <c:ser>
          <c:idx val="1"/>
          <c:order val="1"/>
          <c:tx>
            <c:strRef>
              <c:f>label 1</c:f>
              <c:strCache>
                <c:ptCount val="1"/>
                <c:pt idx="0">
                  <c:v>Ряд2</c:v>
                </c:pt>
              </c:strCache>
            </c:strRef>
          </c:tx>
          <c:spPr>
            <a:solidFill>
              <a:srgbClr val="c0504d"/>
            </a:solidFill>
            <a:ln w="0">
              <a:noFill/>
            </a:ln>
          </c:spPr>
          <c:explosion val="25"/>
          <c:dPt>
            <c:idx val="0"/>
            <c:explosion val="25"/>
            <c:spPr>
              <a:solidFill>
                <a:srgbClr val="4f81bd"/>
              </a:solidFill>
              <a:ln w="0">
                <a:noFill/>
              </a:ln>
            </c:spPr>
          </c:dPt>
          <c:dPt>
            <c:idx val="1"/>
            <c:explosion val="25"/>
            <c:spPr>
              <a:solidFill>
                <a:srgbClr val="c0504d"/>
              </a:solidFill>
              <a:ln w="0">
                <a:noFill/>
              </a:ln>
            </c:spPr>
          </c:dPt>
          <c:dLbls>
            <c:dLbl>
              <c:idx val="0"/>
              <c:txPr>
                <a:bodyPr wrap="square"/>
                <a:lstStyle/>
                <a:p>
                  <a:pPr>
                    <a:defRPr b="0" sz="1000" strike="noStrike" u="none">
                      <a:solidFill>
                        <a:srgbClr val="000000"/>
                      </a:solidFill>
                      <a:uFillTx/>
                      <a:latin typeface="Calibri"/>
                    </a:defRPr>
                  </a:pPr>
                </a:p>
              </c:txPr>
              <c:dLblPos val="bestFit"/>
              <c:showLegendKey val="0"/>
              <c:showVal val="0"/>
              <c:showCatName val="0"/>
              <c:showSerName val="0"/>
              <c:showPercent val="0"/>
              <c:separator>; </c:separator>
            </c:dLbl>
            <c:dLbl>
              <c:idx val="1"/>
              <c:txPr>
                <a:bodyPr wrap="square"/>
                <a:lstStyle/>
                <a:p>
                  <a:pPr>
                    <a:defRPr b="0" sz="1000" strike="noStrike" u="none">
                      <a:solidFill>
                        <a:srgbClr val="000000"/>
                      </a:solidFill>
                      <a:uFillTx/>
                      <a:latin typeface="Calibri"/>
                    </a:defRPr>
                  </a:pPr>
                </a:p>
              </c:txPr>
              <c:dLblPos val="bestFit"/>
              <c:showLegendKey val="0"/>
              <c:showVal val="0"/>
              <c:showCatName val="0"/>
              <c:showSerName val="0"/>
              <c:showPercent val="0"/>
              <c:separator>; </c:separator>
            </c:dLbl>
            <c:txPr>
              <a:bodyPr wrap="square"/>
              <a:lstStyle/>
              <a:p>
                <a:pPr>
                  <a:defRPr b="0" sz="1000" strike="noStrike" u="none">
                    <a:solidFill>
                      <a:srgbClr val="000000"/>
                    </a:solidFill>
                    <a:uFillTx/>
                    <a:latin typeface="Calibri"/>
                  </a:defRPr>
                </a:pPr>
              </a:p>
            </c:txPr>
            <c:dLblPos val="bestFit"/>
            <c:showLegendKey val="0"/>
            <c:showVal val="0"/>
            <c:showCatName val="0"/>
            <c:showSerName val="0"/>
            <c:showPercent val="0"/>
            <c:separator>; </c:separator>
            <c:showLeaderLines val="1"/>
          </c:dLbls>
          <c:cat>
            <c:strRef>
              <c:f>categories</c:f>
              <c:strCache>
                <c:ptCount val="2"/>
                <c:pt idx="0">
                  <c:v>ИЖФ 17%</c:v>
                </c:pt>
                <c:pt idx="1">
                  <c:v>МКД 83%</c:v>
                </c:pt>
              </c:strCache>
            </c:strRef>
          </c:cat>
          <c:val>
            <c:numRef>
              <c:f>1</c:f>
              <c:numCache>
                <c:formatCode>General</c:formatCode>
                <c:ptCount val="2"/>
              </c:numCache>
            </c:numRef>
          </c:val>
        </c:ser>
      </c:pie3DChart>
    </c:plotArea>
    <c:plotVisOnly val="1"/>
    <c:dispBlanksAs val="gap"/>
  </c:chart>
  <c:spPr>
    <a:solidFill>
      <a:srgbClr val="ffffff"/>
    </a:solidFill>
    <a:ln w="9360">
      <a:solidFill>
        <a:srgbClr val="ffffff"/>
      </a:solidFill>
      <a:round/>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29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435625"/>
          <c:y val="0.0508888888888889"/>
          <c:w val="0.938875"/>
          <c:h val="0.721111111111111"/>
        </c:manualLayout>
      </c:layout>
      <c:pie3DChart>
        <c:varyColors val="1"/>
        <c:ser>
          <c:idx val="0"/>
          <c:order val="0"/>
          <c:tx>
            <c:strRef>
              <c:f>label 0</c:f>
              <c:strCache>
                <c:ptCount val="1"/>
                <c:pt idx="0">
                  <c:v>Ряд1</c:v>
                </c:pt>
              </c:strCache>
            </c:strRef>
          </c:tx>
          <c:spPr>
            <a:solidFill>
              <a:srgbClr val="4f81bd"/>
            </a:solidFill>
            <a:ln w="0">
              <a:noFill/>
            </a:ln>
          </c:spPr>
          <c:explosion val="0"/>
          <c:dPt>
            <c:idx val="0"/>
            <c:explosion val="78"/>
            <c:spPr>
              <a:solidFill>
                <a:srgbClr val="ff0000"/>
              </a:solidFill>
              <a:ln w="0">
                <a:noFill/>
              </a:ln>
            </c:spPr>
          </c:dPt>
          <c:dPt>
            <c:idx val="1"/>
            <c:explosion val="73"/>
            <c:spPr>
              <a:solidFill>
                <a:srgbClr val="0070c0"/>
              </a:solidFill>
              <a:ln w="0">
                <a:noFill/>
              </a:ln>
            </c:spPr>
          </c:dPt>
          <c:dPt>
            <c:idx val="2"/>
            <c:explosion val="56"/>
            <c:spPr>
              <a:solidFill>
                <a:srgbClr val="00b050"/>
              </a:solidFill>
              <a:ln w="0">
                <a:noFill/>
              </a:ln>
            </c:spPr>
          </c:dPt>
          <c:dPt>
            <c:idx val="3"/>
            <c:explosion val="59"/>
            <c:spPr>
              <a:solidFill>
                <a:srgbClr val="ffc000"/>
              </a:solidFill>
              <a:ln w="0">
                <a:noFill/>
              </a:ln>
            </c:spPr>
          </c:dPt>
          <c:dLbls>
            <c:dLbl>
              <c:idx val="0"/>
              <c:layout>
                <c:manualLayout>
                  <c:x val="0.01950675635809"/>
                  <c:y val="0.0303700787401575"/>
                </c:manualLayout>
              </c:layout>
              <c:txPr>
                <a:bodyPr wrap="square"/>
                <a:lstStyle/>
                <a:p>
                  <a:pPr>
                    <a:defRPr b="0" sz="900" strike="noStrike" u="none">
                      <a:solidFill>
                        <a:srgbClr val="595959"/>
                      </a:solidFill>
                      <a:uFillTx/>
                      <a:latin typeface="Calibri"/>
                    </a:defRPr>
                  </a:pPr>
                </a:p>
              </c:txPr>
              <c:tx>
                <c:rich>
                  <a:bodyPr/>
                  <a:p>
                    <a:r>
                      <a:rPr b="0" sz="900" strike="noStrike" u="none">
                        <a:solidFill>
                          <a:srgbClr val="595959"/>
                        </a:solidFill>
                        <a:uFillTx/>
                        <a:latin typeface="Calibri"/>
                      </a:rPr>
                      <a:t>78%</a:t>
                    </a:r>
                  </a:p>
                </c:rich>
              </c:tx>
              <c:dLblPos val="outEnd"/>
              <c:showLegendKey val="0"/>
              <c:showVal val="0"/>
              <c:showCatName val="0"/>
              <c:showSerName val="0"/>
              <c:showPercent val="0"/>
              <c:separator>
</c:separator>
            </c:dLbl>
            <c:dLbl>
              <c:idx val="1"/>
              <c:layout>
                <c:manualLayout>
                  <c:x val="-0.0135510031652424"/>
                  <c:y val="0.0275921916010499"/>
                </c:manualLayout>
              </c:layout>
              <c:txPr>
                <a:bodyPr wrap="square"/>
                <a:lstStyle/>
                <a:p>
                  <a:pPr>
                    <a:defRPr b="0" sz="900" strike="noStrike" u="none">
                      <a:solidFill>
                        <a:srgbClr val="595959"/>
                      </a:solidFill>
                      <a:uFillTx/>
                      <a:latin typeface="Calibri"/>
                    </a:defRPr>
                  </a:pPr>
                </a:p>
              </c:txPr>
              <c:tx>
                <c:rich>
                  <a:bodyPr/>
                  <a:p>
                    <a:r>
                      <a:rPr b="0" sz="900" strike="noStrike" u="none">
                        <a:solidFill>
                          <a:srgbClr val="595959"/>
                        </a:solidFill>
                        <a:uFillTx/>
                        <a:latin typeface="Calibri"/>
                      </a:rPr>
                      <a:t>2%</a:t>
                    </a:r>
                  </a:p>
                </c:rich>
              </c:tx>
              <c:dLblPos val="outEnd"/>
              <c:showLegendKey val="0"/>
              <c:showVal val="0"/>
              <c:showCatName val="0"/>
              <c:showSerName val="0"/>
              <c:showPercent val="0"/>
              <c:separator>
</c:separator>
            </c:dLbl>
            <c:dLbl>
              <c:idx val="2"/>
              <c:layout>
                <c:manualLayout>
                  <c:x val="0.00824279941115725"/>
                  <c:y val="-0.0155518372703412"/>
                </c:manualLayout>
              </c:layout>
              <c:txPr>
                <a:bodyPr wrap="square"/>
                <a:lstStyle/>
                <a:p>
                  <a:pPr>
                    <a:defRPr b="0" sz="900" strike="noStrike" u="none">
                      <a:solidFill>
                        <a:srgbClr val="595959"/>
                      </a:solidFill>
                      <a:uFillTx/>
                      <a:latin typeface="Calibri"/>
                    </a:defRPr>
                  </a:pPr>
                </a:p>
              </c:txPr>
              <c:tx>
                <c:rich>
                  <a:bodyPr/>
                  <a:p>
                    <a:r>
                      <a:rPr b="0" sz="900" strike="noStrike" u="none">
                        <a:solidFill>
                          <a:srgbClr val="595959"/>
                        </a:solidFill>
                        <a:uFillTx/>
                        <a:latin typeface="Calibri"/>
                      </a:rPr>
                      <a:t>13%</a:t>
                    </a:r>
                  </a:p>
                </c:rich>
              </c:tx>
              <c:dLblPos val="outEnd"/>
              <c:showLegendKey val="0"/>
              <c:showVal val="0"/>
              <c:showCatName val="0"/>
              <c:showSerName val="0"/>
              <c:showPercent val="0"/>
              <c:separator>
</c:separator>
            </c:dLbl>
            <c:dLbl>
              <c:idx val="3"/>
              <c:layout>
                <c:manualLayout>
                  <c:x val="0.00417957002791253"/>
                  <c:y val="-0.00773064304461946"/>
                </c:manualLayout>
              </c:layout>
              <c:txPr>
                <a:bodyPr wrap="square"/>
                <a:lstStyle/>
                <a:p>
                  <a:pPr>
                    <a:defRPr b="0" sz="900" strike="noStrike" u="none">
                      <a:solidFill>
                        <a:srgbClr val="595959"/>
                      </a:solidFill>
                      <a:uFillTx/>
                      <a:latin typeface="Calibri"/>
                    </a:defRPr>
                  </a:pPr>
                </a:p>
              </c:txPr>
              <c:tx>
                <c:rich>
                  <a:bodyPr/>
                  <a:p>
                    <a:r>
                      <a:rPr b="0" sz="900" strike="noStrike" u="none">
                        <a:solidFill>
                          <a:srgbClr val="595959"/>
                        </a:solidFill>
                        <a:uFillTx/>
                        <a:latin typeface="Calibri"/>
                      </a:rPr>
                      <a:t>7%</a:t>
                    </a:r>
                  </a:p>
                </c:rich>
              </c:tx>
              <c:dLblPos val="outEnd"/>
              <c:showLegendKey val="0"/>
              <c:showVal val="0"/>
              <c:showCatName val="0"/>
              <c:showSerName val="0"/>
              <c:showPercent val="0"/>
              <c:separator>
</c:separator>
            </c:dLbl>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showLeaderLines val="1"/>
            <c:leaderLines>
              <c:spPr>
                <a:ln>
                  <a:solidFill>
                    <a:srgbClr val="a6a6a6"/>
                  </a:solidFill>
                </a:ln>
              </c:spPr>
            </c:leaderLines>
          </c:dLbls>
          <c:cat>
            <c:strRef>
              <c:f>categories</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0</c:f>
              <c:numCache>
                <c:formatCode>General</c:formatCode>
                <c:ptCount val="4"/>
                <c:pt idx="0">
                  <c:v>1368</c:v>
                </c:pt>
                <c:pt idx="1">
                  <c:v>30</c:v>
                </c:pt>
                <c:pt idx="2">
                  <c:v>219.7</c:v>
                </c:pt>
                <c:pt idx="3">
                  <c:v>128</c:v>
                </c:pt>
              </c:numCache>
            </c:numRef>
          </c:val>
        </c:ser>
        <c:ser>
          <c:idx val="1"/>
          <c:order val="1"/>
          <c:tx>
            <c:strRef>
              <c:f>label 1</c:f>
              <c:strCache>
                <c:ptCount val="1"/>
                <c:pt idx="0">
                  <c:v>Ряд2</c:v>
                </c:pt>
              </c:strCache>
            </c:strRef>
          </c:tx>
          <c:spPr>
            <a:solidFill>
              <a:srgbClr val="c0504d"/>
            </a:solidFill>
            <a:ln w="0">
              <a:noFill/>
            </a:ln>
          </c:spPr>
          <c:explosion val="0"/>
          <c:dPt>
            <c:idx val="0"/>
            <c:spPr>
              <a:gradFill>
                <a:gsLst>
                  <a:gs pos="0">
                    <a:srgbClr val="abbddb"/>
                  </a:gs>
                  <a:gs pos="50000">
                    <a:srgbClr val="9db2d4"/>
                  </a:gs>
                  <a:gs pos="100000">
                    <a:srgbClr val="8ca7d1"/>
                  </a:gs>
                </a:gsLst>
                <a:lin ang="5400000"/>
              </a:gradFill>
              <a:ln w="0">
                <a:noFill/>
              </a:ln>
            </c:spPr>
          </c:dPt>
          <c:dPt>
            <c:idx val="1"/>
            <c:spPr>
              <a:gradFill>
                <a:gsLst>
                  <a:gs pos="0">
                    <a:srgbClr val="ddabaa"/>
                  </a:gs>
                  <a:gs pos="50000">
                    <a:srgbClr val="d69e9d"/>
                  </a:gs>
                  <a:gs pos="100000">
                    <a:srgbClr val="d38c8b"/>
                  </a:gs>
                </a:gsLst>
                <a:lin ang="5400000"/>
              </a:gradFill>
              <a:ln w="0">
                <a:noFill/>
              </a:ln>
            </c:spPr>
          </c:dPt>
          <c:dPt>
            <c:idx val="2"/>
            <c:spPr>
              <a:gradFill>
                <a:gsLst>
                  <a:gs pos="0">
                    <a:srgbClr val="cadaae"/>
                  </a:gs>
                  <a:gs pos="50000">
                    <a:srgbClr val="c0d3a1"/>
                  </a:gs>
                  <a:gs pos="100000">
                    <a:srgbClr val="b8d091"/>
                  </a:gs>
                </a:gsLst>
                <a:lin ang="5400000"/>
              </a:gradFill>
              <a:ln w="0">
                <a:noFill/>
              </a:ln>
            </c:spPr>
          </c:dPt>
          <c:dPt>
            <c:idx val="3"/>
            <c:spPr>
              <a:gradFill>
                <a:gsLst>
                  <a:gs pos="0">
                    <a:srgbClr val="bcb1cc"/>
                  </a:gs>
                  <a:gs pos="50000">
                    <a:srgbClr val="b2a5c4"/>
                  </a:gs>
                  <a:gs pos="100000">
                    <a:srgbClr val="a696be"/>
                  </a:gs>
                </a:gsLst>
                <a:lin ang="5400000"/>
              </a:gradFill>
              <a:ln w="0">
                <a:noFill/>
              </a:ln>
            </c:spPr>
          </c:dPt>
          <c:dLbls>
            <c:dLbl>
              <c:idx val="0"/>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dLbl>
            <c:dLbl>
              <c:idx val="1"/>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dLbl>
            <c:dLbl>
              <c:idx val="2"/>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dLbl>
            <c:dLbl>
              <c:idx val="3"/>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dLbl>
            <c:txPr>
              <a:bodyPr wrap="square"/>
              <a:lstStyle/>
              <a:p>
                <a:pPr>
                  <a:defRPr b="0" sz="900" strike="noStrike" u="none">
                    <a:solidFill>
                      <a:srgbClr val="595959"/>
                    </a:solidFill>
                    <a:uFillTx/>
                    <a:latin typeface="Calibri"/>
                  </a:defRPr>
                </a:pPr>
              </a:p>
            </c:txPr>
            <c:dLblPos val="ctr"/>
            <c:showLegendKey val="0"/>
            <c:showVal val="0"/>
            <c:showCatName val="1"/>
            <c:showSerName val="0"/>
            <c:showPercent val="1"/>
            <c:separator>
</c:separator>
            <c:showLeaderLines val="1"/>
            <c:leaderLines>
              <c:spPr>
                <a:ln>
                  <a:solidFill>
                    <a:srgbClr val="a6a6a6"/>
                  </a:solidFill>
                </a:ln>
              </c:spPr>
            </c:leaderLines>
          </c:dLbls>
          <c:cat>
            <c:strRef>
              <c:f>categories</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1</c:f>
              <c:numCache>
                <c:formatCode>General</c:formatCode>
                <c:ptCount val="4"/>
                <c:pt idx="0">
                  <c:v>78.4</c:v>
                </c:pt>
                <c:pt idx="1">
                  <c:v>1.71850833476542</c:v>
                </c:pt>
                <c:pt idx="2">
                  <c:v>12.5852093715988</c:v>
                </c:pt>
                <c:pt idx="3">
                  <c:v>7.33230222833247</c:v>
                </c:pt>
              </c:numCache>
            </c:numRef>
          </c:val>
        </c:ser>
      </c:pie3DChart>
    </c:plotArea>
    <c:legend>
      <c:legendPos val="b"/>
      <c:overlay val="0"/>
      <c:spPr>
        <a:noFill/>
        <a:ln w="0">
          <a:noFill/>
        </a:ln>
      </c:spPr>
      <c:txPr>
        <a:bodyPr/>
        <a:lstStyle/>
        <a:p>
          <a:pPr>
            <a:defRPr b="0" sz="900" strike="noStrike" u="none">
              <a:solidFill>
                <a:srgbClr val="808080"/>
              </a:solidFill>
              <a:uFillTx/>
              <a:latin typeface="Calibri"/>
            </a:defRPr>
          </a:pPr>
        </a:p>
      </c:txPr>
    </c:legend>
    <c:plotVisOnly val="1"/>
    <c:dispBlanksAs val="gap"/>
  </c:chart>
  <c:spPr>
    <a:solidFill>
      <a:srgbClr val="ffffff"/>
    </a:solidFill>
    <a:ln w="9360">
      <a:solidFill>
        <a:srgbClr val="d9d9d9"/>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13875"/>
          <c:y val="0.0231111111111111"/>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0.63</c:v>
                </c:pt>
                <c:pt idx="1">
                  <c:v>0.02</c:v>
                </c:pt>
                <c:pt idx="2">
                  <c:v>0.14</c:v>
                </c:pt>
                <c:pt idx="3">
                  <c:v>0.21</c:v>
                </c:pt>
              </c:numCache>
            </c:numRef>
          </c:val>
        </c:ser>
      </c:pie3DChart>
    </c:plotArea>
    <c:legend>
      <c:legendPos val="r"/>
      <c:overlay val="0"/>
      <c:spPr>
        <a:noFill/>
        <a:ln w="0">
          <a:noFill/>
        </a:ln>
      </c:spPr>
      <c:txPr>
        <a:bodyPr/>
        <a:lstStyle/>
        <a:p>
          <a:pPr>
            <a:defRPr b="0" sz="1000" strike="noStrike" u="none">
              <a:solidFill>
                <a:srgbClr val="000000"/>
              </a:solidFill>
              <a:uFillTx/>
              <a:latin typeface="Calibri"/>
            </a:defRPr>
          </a:pPr>
        </a:p>
      </c:txPr>
    </c:legend>
    <c:plotVisOnly val="1"/>
    <c:dispBlanksAs val="gap"/>
  </c:chart>
  <c:spPr>
    <a:solidFill>
      <a:srgbClr val="ffffff"/>
    </a:solidFill>
    <a:ln w="9360">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13875"/>
          <c:y val="0.0231111111111111"/>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0.65</c:v>
                </c:pt>
                <c:pt idx="1">
                  <c:v>0.02</c:v>
                </c:pt>
                <c:pt idx="2">
                  <c:v>0.14</c:v>
                </c:pt>
                <c:pt idx="3">
                  <c:v>0.21</c:v>
                </c:pt>
              </c:numCache>
            </c:numRef>
          </c:val>
        </c:ser>
      </c:pie3DChart>
    </c:plotArea>
    <c:legend>
      <c:legendPos val="r"/>
      <c:overlay val="0"/>
      <c:spPr>
        <a:noFill/>
        <a:ln w="0">
          <a:noFill/>
        </a:ln>
      </c:spPr>
      <c:txPr>
        <a:bodyPr/>
        <a:lstStyle/>
        <a:p>
          <a:pPr>
            <a:defRPr b="0" sz="1000" strike="noStrike" u="none">
              <a:solidFill>
                <a:srgbClr val="000000"/>
              </a:solidFill>
              <a:uFillTx/>
              <a:latin typeface="Calibri"/>
            </a:defRPr>
          </a:pPr>
        </a:p>
      </c:txPr>
    </c:legend>
    <c:plotVisOnly val="1"/>
    <c:dispBlanksAs val="gap"/>
  </c:chart>
  <c:spPr>
    <a:solidFill>
      <a:srgbClr val="ffffff"/>
    </a:solidFill>
    <a:ln w="9360">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
          <c:y val="0"/>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0.69</c:v>
                </c:pt>
                <c:pt idx="1">
                  <c:v>0.02</c:v>
                </c:pt>
                <c:pt idx="2">
                  <c:v>0.13</c:v>
                </c:pt>
                <c:pt idx="3">
                  <c:v>0.16</c:v>
                </c:pt>
              </c:numCache>
            </c:numRef>
          </c:val>
        </c:ser>
      </c:pie3DChart>
    </c:plotArea>
    <c:legend>
      <c:legendPos val="r"/>
      <c:overlay val="0"/>
      <c:spPr>
        <a:noFill/>
        <a:ln w="0">
          <a:noFill/>
        </a:ln>
      </c:spPr>
      <c:txPr>
        <a:bodyPr/>
        <a:lstStyle/>
        <a:p>
          <a:pPr>
            <a:defRPr b="0" sz="1000" strike="noStrike" u="none">
              <a:solidFill>
                <a:srgbClr val="000000"/>
              </a:solidFill>
              <a:uFillTx/>
              <a:latin typeface="Calibri"/>
            </a:defRPr>
          </a:pPr>
        </a:p>
      </c:txPr>
    </c:legend>
    <c:plotVisOnly val="1"/>
    <c:dispBlanksAs val="gap"/>
  </c:chart>
  <c:spPr>
    <a:solidFill>
      <a:srgbClr val="ffffff"/>
    </a:solidFill>
    <a:ln w="9360">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
          <c:y val="0"/>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dLbl>
            <c:txPr>
              <a:bodyPr wrap="square"/>
              <a:lstStyle/>
              <a:p>
                <a:pPr>
                  <a:defRPr b="0" sz="1000" strike="noStrike" u="none">
                    <a:solidFill>
                      <a:srgbClr val="000000"/>
                    </a:solidFill>
                    <a:uFillTx/>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0.692</c:v>
                </c:pt>
                <c:pt idx="1">
                  <c:v>0.02</c:v>
                </c:pt>
                <c:pt idx="2">
                  <c:v>0.13</c:v>
                </c:pt>
                <c:pt idx="3">
                  <c:v>0.158</c:v>
                </c:pt>
              </c:numCache>
            </c:numRef>
          </c:val>
        </c:ser>
      </c:pie3DChart>
    </c:plotArea>
    <c:legend>
      <c:legendPos val="r"/>
      <c:overlay val="0"/>
      <c:spPr>
        <a:noFill/>
        <a:ln w="0">
          <a:noFill/>
        </a:ln>
      </c:spPr>
      <c:txPr>
        <a:bodyPr/>
        <a:lstStyle/>
        <a:p>
          <a:pPr>
            <a:defRPr b="0" sz="1000" strike="noStrike" u="none">
              <a:solidFill>
                <a:srgbClr val="000000"/>
              </a:solidFill>
              <a:uFillTx/>
              <a:latin typeface="Calibri"/>
            </a:defRPr>
          </a:pPr>
        </a:p>
      </c:txPr>
    </c:legend>
    <c:plotVisOnly val="1"/>
    <c:dispBlanksAs val="gap"/>
  </c:chart>
  <c:spPr>
    <a:solidFill>
      <a:srgbClr val="ffffff"/>
    </a:solidFill>
    <a:ln w="9360">
      <a:noFill/>
    </a:ln>
  </c:spPr>
  <c:externalData r:id="rId1"/>
</c:chartSpace>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1761878A-20A8-4866-BB40-9B1382497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Application>LibreOffice/24.8.7.2$Windows_X86_64 LibreOffice_project/e07d0a63a46349d29051da79b1fde8160bab2a89</Application>
  <AppVersion>15.0000</AppVersion>
  <Pages>234</Pages>
  <Words>36818</Words>
  <Characters>240484</Characters>
  <CharactersWithSpaces>274529</CharactersWithSpaces>
  <Paragraphs>12648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2025-06-20T06:16:00Z</dcterms:created>
  <dc:creator>Белоусов Александр Львович</dc:creator>
  <dc:description/>
  <dc:language>ru-RU</dc:language>
  <cp:lastModifiedBy/>
  <cp:lastPrinted>2024-04-08T09:05:00Z</cp:lastPrinted>
  <dcterms:modified xsi:type="dcterms:W3CDTF">2025-06-20T13:21:46Z</dcterms:modified>
  <cp:revision>30</cp:revision>
  <dc:subject/>
  <dc:title/>
</cp:coreProperties>
</file>

<file path=docProps/custom.xml><?xml version="1.0" encoding="utf-8"?>
<Properties xmlns="http://schemas.openxmlformats.org/officeDocument/2006/custom-properties" xmlns:vt="http://schemas.openxmlformats.org/officeDocument/2006/docPropsVTypes"/>
</file>