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2"/>
        <w:gridCol w:w="540"/>
        <w:gridCol w:w="1959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28.01.2026</w:t>
            </w:r>
          </w:p>
        </w:tc>
        <w:tc>
          <w:tcPr>
            <w:tcW w:w="4132" w:type="dxa"/>
            <w:tcBorders/>
            <w:shd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Style20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140-16-Р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торгового объекта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</w:r>
      <w:r>
        <w:rPr>
          <w:b w:val="false"/>
          <w:bCs w:val="false"/>
          <w:sz w:val="24"/>
          <w:szCs w:val="24"/>
        </w:rPr>
        <w:t>1. Провести открытый аукцион на право заключения договора на размещение нестационарного торгового объекта на территории городского округа города Калуги Калужской области (далее – аукцион).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</w:rPr>
        <w:tab/>
        <w:t>2. Утвердить: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2.1. Извещение о проведении аукциона согласно приложению 1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2.2. Аукционную документацию согласно приложению 2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3. 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ListLabel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sz w:val="24"/>
          <w:szCs w:val="24"/>
          <w:shd w:fill="auto" w:val="clear"/>
        </w:rPr>
        <w:tab/>
        <w:t xml:space="preserve">4. </w:t>
      </w: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ab/>
        <w:t>5.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LibreOffice/6.3.1.2$Windows_x86 LibreOffice_project/b79626edf0065ac373bd1df5c28bd630b4424273</Application>
  <Pages>1</Pages>
  <Words>238</Words>
  <Characters>1681</Characters>
  <CharactersWithSpaces>2040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2026-01-28T09:32:24Z</dcterms:modified>
  <cp:revision>15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