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jc w:val="center"/>
        <w:rPr/>
      </w:pPr>
      <w:r>
        <w:rPr>
          <w:b/>
          <w:bCs/>
          <w:sz w:val="24"/>
          <w:szCs w:val="24"/>
        </w:rPr>
        <w:t xml:space="preserve">Программа профилактики </w:t>
      </w:r>
      <w:r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</w:t>
      </w:r>
      <w:r>
        <w:rPr>
          <w:b/>
          <w:bCs/>
          <w:sz w:val="24"/>
          <w:szCs w:val="24"/>
        </w:rPr>
        <w:t>на 2022 год</w:t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center"/>
        <w:rPr/>
      </w:pPr>
      <w:r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>
      <w:pPr>
        <w:pStyle w:val="Normal"/>
        <w:ind w:firstLine="709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24"/>
        <w:jc w:val="both"/>
        <w:rPr/>
      </w:pPr>
      <w:r>
        <w:rPr>
          <w:sz w:val="24"/>
          <w:szCs w:val="24"/>
        </w:rPr>
        <w:t>Настоящая программа разработана в соответствии со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статьей 44</w:t>
      </w:r>
      <w:r>
        <w:rPr>
          <w:sz w:val="24"/>
          <w:szCs w:val="24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 (далее - </w:t>
      </w:r>
      <w:r>
        <w:rPr>
          <w:color w:val="000000"/>
          <w:sz w:val="24"/>
          <w:szCs w:val="24"/>
        </w:rPr>
        <w:t>№ 248-ФЗ)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>В 2021 году при осуществлении муниципального жилищного контроля на территории   МО «Город Калуга»: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>- в отношении граждан, проживающих по договору социального найма в муниципальных жилых помещениях, выполнена 31 выездная проверка с выдачей предписаний в случае выявления нарушений, возбуждены 16 дел об административных правонарушениях за неисполнение предписаний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 w:eastAsia="ru-RU"/>
        </w:rPr>
        <w:t>,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 xml:space="preserve">- в отношении управляющих организаций выполнена 51 проверка с выдачей предписаний в случае выявления нарушений, возбуждены 6 дел об административных правонарушениях за неисполнение предписаний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 w:eastAsia="ru-RU"/>
        </w:rPr>
        <w:t>(выявлено неисполнение 6 предписаний),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>- выполнены 1647 контрольных мероприятий без взаимодействия с подконтрольными субъектами с выдачей предостережений.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>В результате указанных мероприятий в настоящее время устранены 1595 нарушений содержания жилищного фонда, правил предоставления коммунальных услуг и начисления платы за содержание жилого помещения.</w:t>
      </w:r>
    </w:p>
    <w:p>
      <w:pPr>
        <w:pStyle w:val="Normal"/>
        <w:bidi w:val="0"/>
        <w:spacing w:lineRule="atLeast" w:line="220" w:before="0" w:after="0"/>
        <w:ind w:firstLine="540"/>
        <w:jc w:val="both"/>
        <w:rPr/>
      </w:pPr>
      <w:r>
        <w:rPr>
          <w:rFonts w:eastAsia="Times New Roman" w:cs="Times New Roman"/>
          <w:color w:val="000000"/>
          <w:sz w:val="24"/>
          <w:szCs w:val="24"/>
          <w:u w:val="none"/>
          <w:lang w:eastAsia="ru-RU"/>
        </w:rPr>
        <w:t>Таким образом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Normal"/>
        <w:spacing w:lineRule="atLeast" w:line="220" w:before="0" w:after="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предупреждения нарушений требований жилищного законодательства, устранения причин, факторов и условий,  способствующих их совершению, органом муниципального жилищного контроля осуществляет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ценностям. </w:t>
      </w:r>
    </w:p>
    <w:p>
      <w:pPr>
        <w:pStyle w:val="Normal"/>
        <w:spacing w:lineRule="atLeast" w:line="220" w:before="0" w:after="1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Орган муниципального жилищного контроля при проведении профилактических мероприятий осуществляет взаимодействие с гражданами, организациями только в случаях, установленных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9"/>
        <w:jc w:val="center"/>
        <w:rPr/>
      </w:pPr>
      <w:r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b/>
          <w:bCs/>
          <w:sz w:val="24"/>
          <w:szCs w:val="24"/>
        </w:rPr>
        <w:t>Основными целями Программы профилактики являются:</w:t>
      </w:r>
    </w:p>
    <w:p>
      <w:pPr>
        <w:pStyle w:val="Normal"/>
        <w:ind w:firstLine="708"/>
        <w:jc w:val="both"/>
        <w:rPr/>
      </w:pPr>
      <w:r>
        <w:rPr>
          <w:bCs/>
          <w:sz w:val="24"/>
          <w:szCs w:val="24"/>
        </w:rPr>
        <w:t>1) с</w:t>
      </w:r>
      <w:r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jc w:val="both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/>
      </w:r>
    </w:p>
    <w:p>
      <w:pPr>
        <w:pStyle w:val="Normal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1) </w:t>
      </w:r>
      <w:r>
        <w:rPr>
          <w:sz w:val="24"/>
          <w:szCs w:val="24"/>
          <w:shd w:fill="auto" w:val="clear"/>
        </w:rPr>
        <w:t xml:space="preserve">выявление и устранение причин, факторов и условий, способствующих нарушению субъектами профилактики обязательных требований </w:t>
      </w:r>
      <w:r>
        <w:rPr>
          <w:rFonts w:cs="Times New Roman" w:ascii="Times New Roman" w:hAnsi="Times New Roman"/>
          <w:bCs/>
          <w:sz w:val="24"/>
          <w:szCs w:val="24"/>
          <w:shd w:fill="auto" w:val="clear"/>
        </w:rPr>
        <w:t>и требований, установленных муниципальными правовыми актами,</w:t>
      </w:r>
    </w:p>
    <w:p>
      <w:pPr>
        <w:pStyle w:val="Normal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2) </w:t>
      </w:r>
      <w:r>
        <w:rPr>
          <w:sz w:val="24"/>
          <w:szCs w:val="24"/>
          <w:shd w:fill="auto" w:val="clear"/>
        </w:rPr>
        <w:t xml:space="preserve">повышение </w:t>
      </w:r>
      <w:r>
        <w:rPr>
          <w:sz w:val="24"/>
          <w:szCs w:val="24"/>
        </w:rPr>
        <w:t xml:space="preserve">правовой грамотности и </w:t>
      </w:r>
      <w:r>
        <w:rPr>
          <w:sz w:val="24"/>
          <w:szCs w:val="24"/>
          <w:shd w:fill="auto" w:val="clear"/>
        </w:rPr>
        <w:t>правосознания субъектов профилактики,</w:t>
      </w:r>
    </w:p>
    <w:p>
      <w:pPr>
        <w:pStyle w:val="Normal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3) </w:t>
      </w:r>
      <w:r>
        <w:rPr>
          <w:sz w:val="24"/>
          <w:szCs w:val="24"/>
          <w:shd w:fill="auto" w:val="clear"/>
        </w:rPr>
        <w:t xml:space="preserve">обеспечение доступности информации об обязательных требованиях </w:t>
      </w:r>
      <w:r>
        <w:rPr>
          <w:rFonts w:cs="Times New Roman" w:ascii="Times New Roman" w:hAnsi="Times New Roman"/>
          <w:bCs/>
          <w:sz w:val="24"/>
          <w:szCs w:val="24"/>
          <w:shd w:fill="auto" w:val="clear"/>
        </w:rPr>
        <w:t>и требований, установленных муниципальными правовыми актами,</w:t>
      </w:r>
    </w:p>
    <w:p>
      <w:pPr>
        <w:pStyle w:val="Normal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shd w:fill="auto" w:val="clear"/>
          <w:lang w:val="ru-RU"/>
        </w:rPr>
        <w:t xml:space="preserve">4) </w:t>
      </w:r>
      <w:r>
        <w:rPr>
          <w:rFonts w:cs="Times New Roman" w:ascii="Times New Roman" w:hAnsi="Times New Roman"/>
          <w:bCs/>
          <w:sz w:val="24"/>
          <w:szCs w:val="24"/>
          <w:shd w:fill="auto" w:val="clear"/>
          <w:lang w:val="ru-RU"/>
        </w:rPr>
        <w:t xml:space="preserve">повышение </w:t>
      </w:r>
      <w:r>
        <w:rPr>
          <w:rFonts w:eastAsia="Times New Roman" w:cs="Times New Roman" w:ascii="Times New Roman" w:hAnsi="Times New Roman"/>
          <w:bCs/>
          <w:color w:val="auto"/>
          <w:sz w:val="24"/>
          <w:szCs w:val="24"/>
          <w:shd w:fill="auto" w:val="clear"/>
          <w:lang w:val="ru-RU" w:eastAsia="zh-CN" w:bidi="ar-SA"/>
        </w:rPr>
        <w:t xml:space="preserve">эффективности и результативности </w:t>
      </w:r>
      <w:r>
        <w:rPr>
          <w:rFonts w:cs="Times New Roman" w:ascii="Times New Roman" w:hAnsi="Times New Roman"/>
          <w:bCs/>
          <w:sz w:val="24"/>
          <w:szCs w:val="24"/>
          <w:shd w:fill="auto" w:val="clear"/>
          <w:lang w:val="ru-RU"/>
        </w:rPr>
        <w:t>контрольной деятельности.</w:t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center"/>
        <w:rPr/>
      </w:pPr>
      <w:r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jc w:val="both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tbl>
      <w:tblPr>
        <w:tblW w:w="10079" w:type="dxa"/>
        <w:jc w:val="left"/>
        <w:tblInd w:w="-36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84"/>
        <w:gridCol w:w="4415"/>
        <w:gridCol w:w="1815"/>
        <w:gridCol w:w="3164"/>
      </w:tblGrid>
      <w:tr>
        <w:trPr/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iCs/>
                <w:sz w:val="24"/>
                <w:szCs w:val="24"/>
              </w:rPr>
              <w:t xml:space="preserve">№ </w:t>
            </w:r>
            <w:r>
              <w:rPr>
                <w:iCs/>
                <w:sz w:val="24"/>
                <w:szCs w:val="24"/>
              </w:rPr>
              <w:t xml:space="preserve">п/п </w:t>
            </w:r>
          </w:p>
        </w:tc>
        <w:tc>
          <w:tcPr>
            <w:tcW w:w="4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>
        <w:trPr/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iCs/>
                <w:sz w:val="24"/>
                <w:szCs w:val="24"/>
              </w:rPr>
              <w:t xml:space="preserve">Информирование: размещение информации по вопросам </w:t>
            </w:r>
            <w:r>
              <w:rPr>
                <w:iCs/>
                <w:color w:val="000000"/>
                <w:sz w:val="24"/>
                <w:szCs w:val="24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«Интернет» (далее – официальный сайт Городской Управы города Калуги)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sz w:val="24"/>
                <w:szCs w:val="24"/>
                <w:shd w:fill="FFFFFF" w:val="clear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sz w:val="24"/>
                <w:szCs w:val="24"/>
              </w:rPr>
              <w:t xml:space="preserve"> и поддержание в актуальном состоянии на официальном сайте Городской Управы города Калуги в специальном разделе, посвященном контрольной деятельности, сведений, предусмотренных </w:t>
            </w:r>
            <w:hyperlink r:id="rId2">
              <w:r>
                <w:rPr>
                  <w:rStyle w:val="Style14"/>
                  <w:rFonts w:cs="Times New Roman"/>
                  <w:iCs/>
                  <w:color w:val="000000"/>
                  <w:sz w:val="24"/>
                  <w:szCs w:val="24"/>
                  <w:u w:val="none"/>
                </w:rPr>
                <w:t>частью 3 статьи 46</w:t>
              </w:r>
            </w:hyperlink>
            <w:r>
              <w:rPr>
                <w:rFonts w:cs="Times New Roman"/>
                <w:iCs/>
                <w:color w:val="000000"/>
                <w:sz w:val="24"/>
                <w:szCs w:val="24"/>
              </w:rPr>
              <w:t xml:space="preserve"> № 248-ФЗ.</w:t>
            </w:r>
          </w:p>
          <w:p>
            <w:pPr>
              <w:pStyle w:val="Norma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285pt"/>
                <w:rFonts w:eastAsia="Calibri"/>
                <w:sz w:val="24"/>
                <w:szCs w:val="24"/>
              </w:rPr>
              <w:t xml:space="preserve">Отдел муниципального жилищного контроля комитета административного и жилищного контроля управления городского хозяйства города Калуги </w:t>
            </w:r>
          </w:p>
        </w:tc>
      </w:tr>
      <w:tr>
        <w:trPr/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4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bidi w:val="0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Консультирование: к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по следующим вопросам:</w:t>
            </w:r>
          </w:p>
          <w:p>
            <w:pPr>
              <w:pStyle w:val="ConsPlusNormal"/>
              <w:bidi w:val="0"/>
              <w:spacing w:lineRule="auto" w:line="24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>
            <w:pPr>
              <w:pStyle w:val="ConsPlusNormal"/>
              <w:bidi w:val="0"/>
              <w:spacing w:lineRule="auto" w:line="24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>
            <w:pPr>
              <w:pStyle w:val="ConsPlusNormal"/>
              <w:bidi w:val="0"/>
              <w:spacing w:lineRule="auto" w:line="24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>
            <w:pPr>
              <w:pStyle w:val="ConsPlusNormal"/>
              <w:bidi w:val="0"/>
              <w:spacing w:lineRule="auto" w:line="24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>
              <w:rPr>
                <w:rStyle w:val="285pt"/>
                <w:rFonts w:eastAsia="Calibri"/>
                <w:sz w:val="24"/>
                <w:szCs w:val="24"/>
              </w:rPr>
              <w:t xml:space="preserve">Отдел муниципального жилищного контроля комитета административного и жилищного контроля управления городского хозяйства города Калуги </w:t>
            </w:r>
          </w:p>
        </w:tc>
      </w:tr>
      <w:tr>
        <w:trPr/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4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tLeast" w:line="220" w:before="0" w:after="1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Объявление предостережения: </w:t>
            </w:r>
            <w:r>
              <w:rPr>
                <w:color w:val="000000"/>
                <w:sz w:val="24"/>
                <w:szCs w:val="24"/>
              </w:rPr>
              <w:t xml:space="preserve">В случае наличия у контрольного (надзорного) органа сведений </w:t>
            </w:r>
            <w:r>
              <w:rPr>
                <w:sz w:val="24"/>
                <w:szCs w:val="24"/>
              </w:rPr>
              <w:t xml:space="preserve">о готовящихся или возможных нарушениях требований жилищного законодательства, а также о непосредственных нарушениях требований жилищного законодательства, полученных в ходе реализации мероприятий по контролю, осуществляемых без взаимодействия (наблюдение за соблюдением требований жилищного законодательства) с контролируемыми лицами, либо содержащихся в поступивших обращениях и заявлениях, информации от органов государственной власти, из средств массовой информации) </w:t>
            </w:r>
            <w:r>
              <w:rPr>
                <w:color w:val="000000"/>
                <w:sz w:val="24"/>
                <w:szCs w:val="24"/>
              </w:rPr>
              <w:t xml:space="preserve"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требований, предлагает принять меры по обеспечению соблюдения обязательных требований и </w:t>
            </w:r>
            <w:r>
              <w:rPr>
                <w:sz w:val="24"/>
                <w:szCs w:val="24"/>
              </w:rPr>
              <w:t>уведомить об этом в установленный в таком предостережении срок орган муниципального контроля.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  <w:vAlign w:val="center"/>
          </w:tcPr>
          <w:p>
            <w:pPr>
              <w:pStyle w:val="Normal"/>
              <w:jc w:val="center"/>
              <w:rPr>
                <w:rStyle w:val="285pt"/>
                <w:rFonts w:eastAsia="Calibri"/>
                <w:sz w:val="24"/>
                <w:szCs w:val="24"/>
              </w:rPr>
            </w:pPr>
            <w:r>
              <w:rPr>
                <w:rStyle w:val="285pt"/>
                <w:rFonts w:eastAsia="Calibri"/>
                <w:sz w:val="24"/>
                <w:szCs w:val="24"/>
              </w:rPr>
              <w:t>Отдел муниципального жилищного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center"/>
        <w:rPr/>
      </w:pPr>
      <w:r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448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9"/>
        <w:gridCol w:w="6237"/>
        <w:gridCol w:w="2582"/>
      </w:tblGrid>
      <w:tr>
        <w:trPr/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Полнота информации, размещенной на официальном  </w:t>
            </w:r>
            <w:r>
              <w:rPr>
                <w:color w:val="00000A"/>
                <w:sz w:val="24"/>
                <w:szCs w:val="24"/>
              </w:rPr>
              <w:t>сайте Городской Управы города Калуги в сети Интернет</w:t>
            </w:r>
            <w:r>
              <w:rPr>
                <w:sz w:val="24"/>
                <w:szCs w:val="24"/>
              </w:rPr>
              <w:t xml:space="preserve">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both"/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 xml:space="preserve">Доля проведенных контрольных мероприятий (проверок)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50% и менее</w:t>
            </w:r>
          </w:p>
        </w:tc>
      </w:tr>
      <w:tr>
        <w:trPr>
          <w:trHeight w:val="715" w:hRule="atLeast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both"/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>Выполнение запланированных профилактических мероприятий</w:t>
            </w:r>
          </w:p>
          <w:p>
            <w:pPr>
              <w:pStyle w:val="Normal"/>
              <w:jc w:val="both"/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32ef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994aba"/>
    <w:rPr>
      <w:color w:val="0000FF"/>
      <w:u w:val="single"/>
    </w:rPr>
  </w:style>
  <w:style w:type="character" w:styleId="285pt" w:customStyle="1">
    <w:name w:val="Основной текст (2) + 8;5 pt"/>
    <w:basedOn w:val="DefaultParagraphFont"/>
    <w:qFormat/>
    <w:rsid w:val="00994aba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position w:val="0"/>
      <w:sz w:val="17"/>
      <w:sz w:val="17"/>
      <w:szCs w:val="17"/>
      <w:shd w:fill="FFFFFF" w:val="clear"/>
      <w:vertAlign w:val="baseline"/>
      <w:lang w:val="ru-RU" w:bidi="ru-RU"/>
    </w:rPr>
  </w:style>
  <w:style w:type="character" w:styleId="Style15" w:customStyle="1">
    <w:name w:val="Основной текст Знак"/>
    <w:basedOn w:val="DefaultParagraphFont"/>
    <w:link w:val="a6"/>
    <w:qFormat/>
    <w:rsid w:val="009e0d2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rFonts w:cs="Times New Roman"/>
      <w:iCs/>
      <w:sz w:val="24"/>
      <w:szCs w:val="24"/>
    </w:rPr>
  </w:style>
  <w:style w:type="character" w:styleId="ListLabel2">
    <w:name w:val="ListLabel 2"/>
    <w:qFormat/>
    <w:rPr>
      <w:rFonts w:cs="Times New Roman"/>
      <w:bCs/>
      <w:sz w:val="24"/>
      <w:szCs w:val="24"/>
    </w:rPr>
  </w:style>
  <w:style w:type="character" w:styleId="Footnotereference">
    <w:name w:val="footnote reference"/>
    <w:qFormat/>
    <w:rPr>
      <w:vertAlign w:val="superscript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7"/>
    <w:rsid w:val="009e0d2a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rsid w:val="00232ef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0"/>
      <w:szCs w:val="22"/>
      <w:lang w:val="ru-RU" w:eastAsia="zh-CN" w:bidi="ar-SA"/>
    </w:rPr>
  </w:style>
  <w:style w:type="paragraph" w:styleId="ListParagraph">
    <w:name w:val="List Paragraph"/>
    <w:basedOn w:val="Normal"/>
    <w:qFormat/>
    <w:rsid w:val="00232ef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ConsPlusNormal" w:customStyle="1">
    <w:name w:val="ConsPlusNormal"/>
    <w:qFormat/>
    <w:rsid w:val="00994ab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00000A"/>
      <w:sz w:val="24"/>
      <w:szCs w:val="22"/>
      <w:lang w:val="ru-RU" w:eastAsia="zh-CN" w:bidi="ar-SA"/>
    </w:rPr>
  </w:style>
  <w:style w:type="paragraph" w:styleId="ConsPlusTitle" w:customStyle="1">
    <w:name w:val="ConsPlusTitle"/>
    <w:qFormat/>
    <w:rsid w:val="00750c2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00000A"/>
      <w:sz w:val="20"/>
      <w:szCs w:val="20"/>
      <w:lang w:val="ru-RU" w:eastAsia="zh-CN" w:bidi="ar-SA"/>
    </w:rPr>
  </w:style>
  <w:style w:type="paragraph" w:styleId="Style23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LibreOffice/5.2.0.4$Windows_x86 LibreOffice_project/066b007f5ebcc236395c7d282ba488bca6720265</Application>
  <Pages>4</Pages>
  <Words>885</Words>
  <Characters>6986</Characters>
  <CharactersWithSpaces>7832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2021-09-27T08:28:00Z</dcterms:created>
  <dc:creator>Сорокина Татьяна Леонидовна</dc:creator>
  <dc:description/>
  <dc:language>ru-RU</dc:language>
  <cp:lastModifiedBy/>
  <dcterms:modified xsi:type="dcterms:W3CDTF">2021-09-28T13:57:17Z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