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Calibri"/>
          <w:b/>
          <w:bCs/>
          <w:caps/>
          <w:spacing w:val="40"/>
        </w:rPr>
      </w:pPr>
      <w:r>
        <w:rPr>
          <w:rFonts w:eastAsia="Calibri"/>
          <w:b/>
          <w:caps/>
          <w:spacing w:val="40"/>
        </w:rPr>
        <w:t xml:space="preserve">АКТ № 6</w:t>
      </w:r>
      <w:r>
        <w:rPr>
          <w:rFonts w:eastAsia="Calibri"/>
          <w:b/>
          <w:caps/>
          <w:spacing w:val="40"/>
        </w:rPr>
        <w:t xml:space="preserve">3</w:t>
      </w:r>
      <w:r/>
    </w:p>
    <w:p>
      <w:pPr>
        <w:jc w:val="center"/>
      </w:pPr>
      <w:r>
        <w:rPr>
          <w:b/>
          <w:bCs/>
        </w:rPr>
        <w:t xml:space="preserve">плановой проверки </w:t>
      </w:r>
      <w:r>
        <w:rPr>
          <w:b/>
          <w:bCs/>
        </w:rPr>
        <w:t xml:space="preserve">муниципального бюджетного образовательного учреждения дополнительного образования «Детская школа искусств № 1 им. </w:t>
      </w:r>
      <w:r>
        <w:rPr>
          <w:b/>
          <w:bCs/>
        </w:rPr>
        <w:t xml:space="preserve">Н.П.Ракова</w:t>
      </w:r>
      <w:r>
        <w:rPr>
          <w:b/>
          <w:bCs/>
        </w:rPr>
        <w:t xml:space="preserve">» </w:t>
      </w:r>
      <w:r>
        <w:rPr>
          <w:b/>
          <w:bCs/>
        </w:rPr>
        <w:t xml:space="preserve">г.Калуги</w:t>
      </w:r>
      <w:r>
        <w:rPr>
          <w:b/>
          <w:bCs/>
        </w:rPr>
        <w:t xml:space="preserve"> </w:t>
      </w:r>
      <w:r>
        <w:rPr>
          <w:b/>
          <w:bCs/>
        </w:rPr>
        <w:t xml:space="preserve">по соблюдению требований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</w:t>
      </w:r>
      <w:r/>
    </w:p>
    <w:p>
      <w:pPr>
        <w:jc w:val="center"/>
      </w:pPr>
      <w:r>
        <w:t xml:space="preserve">  </w:t>
      </w:r>
      <w:r/>
    </w:p>
    <w:p>
      <w:pPr>
        <w:jc w:val="center"/>
      </w:pPr>
      <w:r>
        <w:rPr>
          <w:b/>
          <w:bCs/>
        </w:rPr>
        <w:t xml:space="preserve">г. Калуга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</w:t>
      </w:r>
      <w:r>
        <w:rPr>
          <w:b/>
          <w:bCs/>
        </w:rPr>
        <w:t xml:space="preserve">           «28</w:t>
      </w:r>
      <w:r>
        <w:rPr>
          <w:b/>
          <w:bCs/>
        </w:rPr>
        <w:t xml:space="preserve">» </w:t>
      </w:r>
      <w:r>
        <w:rPr>
          <w:b/>
          <w:bCs/>
        </w:rPr>
        <w:t xml:space="preserve">мая</w:t>
      </w:r>
      <w:r>
        <w:rPr>
          <w:b/>
          <w:bCs/>
        </w:rPr>
        <w:t xml:space="preserve"> 202</w:t>
      </w:r>
      <w:r>
        <w:rPr>
          <w:b/>
          <w:bCs/>
        </w:rPr>
        <w:t xml:space="preserve">4</w:t>
      </w:r>
      <w:r>
        <w:rPr>
          <w:b/>
          <w:bCs/>
        </w:rPr>
        <w:t xml:space="preserve"> года</w:t>
      </w:r>
      <w:r/>
    </w:p>
    <w:p>
      <w:r/>
      <w:r/>
    </w:p>
    <w:p>
      <w:pPr>
        <w:ind w:firstLine="708"/>
        <w:jc w:val="both"/>
        <w:spacing w:line="273" w:lineRule="atLeast"/>
        <w:shd w:val="clear" w:color="auto" w:fill="ffffff"/>
      </w:pPr>
      <w:r>
        <w:t xml:space="preserve">В соответствии со статьей 100 Федерального закона от 05.04.2013 № 44-ФЗ «О контрактной системе в сфере закупок товаров, работ, услуг для обеспечения федеральных и мун</w:t>
      </w:r>
      <w:r>
        <w:t xml:space="preserve">иципальных нужд», Положением об управлении культуры города Калуги, утвержденным постановлением Городского Головы города Калуги от 23.06.2004 № 245-п, постановлением Городской Управы города Калуги от 13.08.2014 № 270-п «Об утверждении порядка осуществления </w:t>
      </w:r>
      <w:r>
        <w:rPr>
          <w:bCs/>
        </w:rPr>
        <w:t xml:space="preserve">ведомственного контроля за соблюдением законодательства Российской Фед</w:t>
      </w:r>
      <w:r>
        <w:rPr>
          <w:bCs/>
        </w:rPr>
        <w:t xml:space="preserve">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Калуга» в отношении подведомственных органам Городской Управы города Калуги заказчиков</w:t>
      </w:r>
      <w:r>
        <w:t xml:space="preserve">» и постановлением Городской Управ</w:t>
      </w:r>
      <w:r>
        <w:t xml:space="preserve">ы города Калуги от 05.12.2023 № 4955-пи «Об утверждении плана проведения ведомственного контроля управлением культуры города Калуги подведомственных ему муниципальных учреждений на 2024 год», проведена проверка соблюдения законодательства</w:t>
      </w:r>
      <w:r>
        <w:rPr>
          <w:b/>
        </w:rPr>
        <w:t xml:space="preserve"> </w:t>
      </w:r>
      <w:r>
        <w:t xml:space="preserve">Российской Федерации</w:t>
      </w:r>
      <w:r>
        <w:t xml:space="preserve"> и иных нормативных правовых актов о контрактной системе в сфере закупок товаров, работ, услуг для обеспечения муниципальных нужд в отношении муниципального бюджетного образовательного учреждения дополнительного образования «Детская школа искусств № 1 им. </w:t>
      </w:r>
      <w:r>
        <w:t xml:space="preserve">Н.П.Ракова</w:t>
      </w:r>
      <w:r>
        <w:t xml:space="preserve">» </w:t>
      </w:r>
      <w:r>
        <w:t xml:space="preserve">г.Калуги</w:t>
      </w:r>
      <w:r>
        <w:t xml:space="preserve"> (далее - Проверка).</w:t>
      </w:r>
      <w:r/>
    </w:p>
    <w:p>
      <w:pPr>
        <w:ind w:firstLine="709"/>
        <w:jc w:val="both"/>
      </w:pPr>
      <w:r>
        <w:t xml:space="preserve">Проверка проводится комиссией, утверждённой приказом уп</w:t>
      </w:r>
      <w:r>
        <w:t xml:space="preserve">равления культуры города Калуги от 24.12.2015 № 180 «О создании постоянно действующей комиссии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</w:t>
      </w:r>
      <w:r>
        <w:t xml:space="preserve">от, услуг для обеспечения муниципальных нужд учреждениями, подведомственными управлению культуры города Калуги» (в редакции приказов управления культуры города Калуги от 09.01.2019 № 3, от 03.12.2019 № 133, от 12.10.2023 № 75, от 13.02.2024 № 9) в составе:</w:t>
      </w:r>
      <w:r/>
    </w:p>
    <w:tbl>
      <w:tblPr>
        <w:tblW w:w="10155" w:type="dxa"/>
        <w:tblLayout w:type="fixed"/>
        <w:tblLook w:val="04A0" w:firstRow="1" w:lastRow="0" w:firstColumn="1" w:lastColumn="0" w:noHBand="0" w:noVBand="1"/>
      </w:tblPr>
      <w:tblGrid>
        <w:gridCol w:w="2835"/>
        <w:gridCol w:w="345"/>
        <w:gridCol w:w="6975"/>
      </w:tblGrid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rPr>
                <w:bCs/>
              </w:rPr>
              <w:t xml:space="preserve">Бубич</w:t>
            </w:r>
            <w:r/>
          </w:p>
          <w:p>
            <w:r>
              <w:rPr>
                <w:bCs/>
              </w:rPr>
              <w:t xml:space="preserve">Ирина Юрьевна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заместитель начальника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 (руководитель комиссии);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rPr>
                <w:bCs/>
              </w:rPr>
              <w:t xml:space="preserve">Смирнов</w:t>
            </w:r>
            <w:r/>
          </w:p>
          <w:p>
            <w:r>
              <w:rPr>
                <w:bCs/>
              </w:rPr>
              <w:t xml:space="preserve">Геннадий Владимирович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Калуги;</w:t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r>
              <w:t xml:space="preserve">Радова</w:t>
            </w:r>
            <w:r/>
          </w:p>
          <w:p>
            <w:r>
              <w:t xml:space="preserve">Наталия Сергеевна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5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975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</w:rPr>
              <w:t xml:space="preserve">главный специалист </w:t>
            </w:r>
            <w:r>
              <w:t xml:space="preserve">отдела по финансово-бухгалтерскому и </w:t>
            </w:r>
            <w:r>
              <w:t xml:space="preserve">документационно</w:t>
            </w:r>
            <w:r>
              <w:t xml:space="preserve">-кадровому обеспечению </w:t>
            </w:r>
            <w:r>
              <w:rPr>
                <w:bCs/>
              </w:rPr>
              <w:t xml:space="preserve">управления культуры города Калуги.</w:t>
            </w:r>
            <w:r/>
          </w:p>
        </w:tc>
      </w:tr>
    </w:tbl>
    <w:p>
      <w:pPr>
        <w:ind w:firstLine="709"/>
        <w:jc w:val="both"/>
      </w:pPr>
      <w:r/>
      <w:r/>
    </w:p>
    <w:p>
      <w:pPr>
        <w:ind w:firstLine="709"/>
        <w:jc w:val="both"/>
      </w:pPr>
      <w:r>
        <w:t xml:space="preserve">Проверяемый период: с 01.01.2023 по 30.04.2024.</w:t>
      </w:r>
      <w:r/>
    </w:p>
    <w:p>
      <w:pPr>
        <w:ind w:firstLine="708"/>
        <w:jc w:val="both"/>
      </w:pPr>
      <w:r>
        <w:t xml:space="preserve">Дата начала проверки: 13.05.2024.</w:t>
      </w:r>
      <w:r/>
    </w:p>
    <w:p>
      <w:pPr>
        <w:ind w:firstLine="708"/>
        <w:jc w:val="both"/>
      </w:pPr>
      <w:r>
        <w:t xml:space="preserve">Дата окончания проверки: 17.05.2024.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Предмет проверки: соблюдение требований законодательства Российской Федерации и иных нормативных правовых</w:t>
      </w:r>
      <w:r>
        <w:rPr>
          <w:rFonts w:ascii="Times New Roman" w:hAnsi="Times New Roman"/>
          <w:sz w:val="24"/>
          <w:szCs w:val="24"/>
        </w:rPr>
        <w:t xml:space="preserve"> актов Российской Федерации, Калужской области, муниципальных правовых актов муниципального образования «Город Калуга» о контрактной системе в сфере закупок товаров, работ, услуг для обеспечения муниципальных нужд муниципального образования «Город Калуга».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Вид проверки: плановая.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Форма проверки: выездная (дистанционная).</w:t>
      </w:r>
      <w:r/>
    </w:p>
    <w:p>
      <w:pPr>
        <w:pStyle w:val="879"/>
        <w:ind w:firstLine="708"/>
        <w:jc w:val="both"/>
        <w:spacing w:line="273" w:lineRule="atLeast"/>
        <w:shd w:val="clear" w:color="auto" w:fill="ffffff"/>
      </w:pPr>
      <w:r>
        <w:rPr>
          <w:rFonts w:ascii="Times New Roman" w:hAnsi="Times New Roman"/>
          <w:sz w:val="24"/>
          <w:szCs w:val="24"/>
        </w:rPr>
        <w:t xml:space="preserve">Метод проверки: выборочный.</w:t>
      </w:r>
      <w:r/>
    </w:p>
    <w:p>
      <w:pPr>
        <w:pStyle w:val="879"/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Субъект проверки: «Заказчик» — муниципальное бюджетное образовательное учреждение дополнительного образования «Детская школа искусств № 1 им. </w:t>
      </w:r>
      <w:r>
        <w:rPr>
          <w:rFonts w:ascii="Times New Roman" w:hAnsi="Times New Roman"/>
          <w:sz w:val="24"/>
          <w:szCs w:val="24"/>
        </w:rPr>
        <w:t xml:space="preserve">Н.П.Ракова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г.Калуги</w:t>
      </w:r>
      <w:r>
        <w:rPr>
          <w:rFonts w:ascii="Times New Roman" w:hAnsi="Times New Roman"/>
          <w:sz w:val="24"/>
          <w:szCs w:val="24"/>
        </w:rPr>
        <w:t xml:space="preserve"> (далее – Учреждение), ИНН 4027020964.</w:t>
      </w:r>
      <w:r/>
    </w:p>
    <w:p>
      <w:pPr>
        <w:ind w:firstLine="708"/>
        <w:jc w:val="both"/>
      </w:pPr>
      <w:r>
        <w:t xml:space="preserve">Адрес местонахождения субъекта проверки: ул. Московская, дом 13, г. Калуга, 248000.</w:t>
      </w:r>
      <w:r/>
    </w:p>
    <w:p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</w:r>
      <w:r/>
    </w:p>
    <w:p>
      <w:pPr>
        <w:ind w:firstLine="709"/>
        <w:jc w:val="both"/>
      </w:pPr>
      <w:r>
        <w:rPr>
          <w:b/>
          <w:color w:val="000000"/>
        </w:rPr>
        <w:t xml:space="preserve">В ходе проверки были изучены: </w:t>
      </w:r>
      <w:r/>
    </w:p>
    <w:p>
      <w:pPr>
        <w:ind w:firstLine="709"/>
        <w:jc w:val="both"/>
      </w:pPr>
      <w:r>
        <w:rPr>
          <w:b/>
        </w:rPr>
        <w:t xml:space="preserve">- </w:t>
      </w:r>
      <w:r>
        <w:t xml:space="preserve">Устав Учреждения;</w:t>
      </w:r>
      <w:r/>
    </w:p>
    <w:p>
      <w:pPr>
        <w:ind w:firstLine="709"/>
        <w:jc w:val="both"/>
      </w:pPr>
      <w:r>
        <w:t xml:space="preserve">- должностные обязанности специалистов Учреждения;</w:t>
      </w:r>
      <w:r/>
    </w:p>
    <w:p>
      <w:pPr>
        <w:ind w:firstLine="709"/>
        <w:jc w:val="both"/>
      </w:pPr>
      <w:r>
        <w:t xml:space="preserve">- нормативные акты Учреждения, регламентирующие организацию и осуществле</w:t>
      </w:r>
      <w:r>
        <w:t xml:space="preserve">ние закупок товаров, работ, услуг, изданные в проверяемый период;  </w:t>
      </w:r>
      <w:r/>
    </w:p>
    <w:p>
      <w:pPr>
        <w:ind w:firstLine="709"/>
        <w:jc w:val="both"/>
      </w:pPr>
      <w:r>
        <w:t xml:space="preserve">- договора по осуществлению закупок товаров, работ, услуг у единственного поставщика (подрядчика, исполнителя), заключенные Учреждением в проверяемый период и произведенная по ним оплата; </w:t>
      </w:r>
      <w:r/>
    </w:p>
    <w:p>
      <w:pPr>
        <w:ind w:firstLine="709"/>
        <w:jc w:val="both"/>
      </w:pPr>
      <w:r>
        <w:t xml:space="preserve">- реестр закупок; </w:t>
      </w:r>
      <w:r/>
    </w:p>
    <w:p>
      <w:pPr>
        <w:ind w:firstLine="709"/>
        <w:jc w:val="both"/>
      </w:pPr>
      <w:r>
        <w:t xml:space="preserve">- планы–графики на 202</w:t>
      </w:r>
      <w:r>
        <w:t xml:space="preserve">3</w:t>
      </w:r>
      <w:r>
        <w:t xml:space="preserve"> и 202</w:t>
      </w:r>
      <w:r>
        <w:t xml:space="preserve">4</w:t>
      </w:r>
      <w:r>
        <w:t xml:space="preserve"> годы;</w:t>
      </w:r>
      <w:r/>
    </w:p>
    <w:p>
      <w:pPr>
        <w:ind w:firstLine="709"/>
        <w:jc w:val="both"/>
      </w:pPr>
      <w:r>
        <w:rPr>
          <w:iCs/>
          <w:shd w:val="clear" w:color="auto" w:fill="ffffff"/>
        </w:rPr>
        <w:t xml:space="preserve">- отчеты, предусмотренные нормативными документами о контрактной системе;</w:t>
      </w:r>
      <w:r/>
    </w:p>
    <w:p>
      <w:pPr>
        <w:ind w:firstLine="709"/>
        <w:jc w:val="both"/>
      </w:pPr>
      <w:r>
        <w:rPr>
          <w:iCs/>
          <w:highlight w:val="white"/>
        </w:rPr>
        <w:t xml:space="preserve">- материалы, размещенные Учреждением в</w:t>
      </w:r>
      <w:r>
        <w:rPr>
          <w:bCs/>
          <w:iCs/>
          <w:color w:val="000000"/>
          <w:highlight w:val="white"/>
        </w:rPr>
        <w:t xml:space="preserve"> информационной системе «WEB-Торги-КС» Калужской области;</w:t>
      </w:r>
      <w:r/>
    </w:p>
    <w:p>
      <w:pPr>
        <w:ind w:firstLine="709"/>
        <w:jc w:val="both"/>
      </w:pPr>
      <w:r>
        <w:rPr>
          <w:bCs/>
          <w:iCs/>
          <w:color w:val="000000"/>
          <w:highlight w:val="white"/>
        </w:rPr>
        <w:t xml:space="preserve">- порядок использования Учрежд</w:t>
      </w:r>
      <w:r>
        <w:rPr>
          <w:bCs/>
          <w:iCs/>
          <w:color w:val="000000"/>
          <w:highlight w:val="white"/>
        </w:rPr>
        <w:t xml:space="preserve">ением системы «Маркетинговые исследования малых закупок» Калужской области (МИМЗ)</w:t>
      </w:r>
      <w:r>
        <w:rPr>
          <w:iCs/>
          <w:highlight w:val="white"/>
        </w:rPr>
        <w:t xml:space="preserve">. </w:t>
      </w:r>
      <w:r/>
    </w:p>
    <w:p>
      <w:pPr>
        <w:ind w:firstLine="709"/>
        <w:jc w:val="both"/>
        <w:widowControl w:val="off"/>
        <w:rPr>
          <w:iCs/>
          <w:highlight w:val="white"/>
        </w:rPr>
      </w:pPr>
      <w:r>
        <w:rPr>
          <w:iCs/>
          <w:highlight w:val="white"/>
        </w:rPr>
      </w:r>
      <w:r/>
    </w:p>
    <w:p>
      <w:pPr>
        <w:jc w:val="both"/>
      </w:pPr>
      <w:r>
        <w:rPr>
          <w:b/>
          <w:color w:val="000000"/>
        </w:rPr>
        <w:t xml:space="preserve">В ходе проверки</w:t>
      </w:r>
      <w:r/>
    </w:p>
    <w:p>
      <w:pPr>
        <w:ind w:firstLine="709"/>
        <w:jc w:val="center"/>
        <w:widowControl w:val="off"/>
        <w:rPr>
          <w:b/>
          <w:bCs/>
          <w:iCs/>
          <w:color w:val="000000"/>
        </w:rPr>
      </w:pPr>
      <w:r>
        <w:rPr>
          <w:b/>
          <w:bCs/>
          <w:iCs/>
          <w:color w:val="000000"/>
          <w:highlight w:val="white"/>
        </w:rPr>
        <w:t xml:space="preserve">УСТАНОВЛЕНО:</w:t>
      </w:r>
      <w:r/>
    </w:p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rPr>
          <w:iCs/>
          <w:shd w:val="clear" w:color="auto" w:fill="ffffff"/>
        </w:rPr>
        <w:t xml:space="preserve">Проверка проведена в присутствии Цукановой Юлии Анатольевны, главного бухгалтера Учреждения.</w:t>
      </w:r>
      <w:r/>
    </w:p>
    <w:p>
      <w:pPr>
        <w:pStyle w:val="890"/>
        <w:jc w:val="both"/>
        <w:rPr>
          <w:color w:val="000000" w:themeColor="text1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Руководство Учреждением осуществляет директор Федоров Вадим Владимирович (распоряжение начальника управления культуры города Калуги о назначении от 01.09.2023 </w:t>
        <w:br/>
        <w:t xml:space="preserve">№ 173-14-р).</w:t>
      </w:r>
      <w:r>
        <w:rPr>
          <w:color w:val="000000" w:themeColor="text1"/>
        </w:rPr>
      </w:r>
      <w:r/>
    </w:p>
    <w:p>
      <w:pPr>
        <w:pStyle w:val="8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ab/>
        <w:t xml:space="preserve">Контрактным управляющим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Учреждения является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Пикина Елена Александровна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с возложенными обязанностями по дополнительному соглашению к трудовому договору от 15.02.2018 № 113 и приказу Учреждения от 15.02.2018 № 31.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является самостоятельным юридическим лицом, имеет обособленное имущество, самостоятельный баланс, печать установленного образца, штамп, бланки, осуществляет деятельность на основании Устава</w:t>
      </w:r>
      <w:r>
        <w:rPr>
          <w:color w:val="auto"/>
        </w:rPr>
        <w:t xml:space="preserve">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Учред</w:t>
      </w:r>
      <w:r>
        <w:rPr>
          <w:color w:val="auto"/>
        </w:rPr>
        <w:t xml:space="preserve">ителем муниципального бюджетного учреждения является муниципальное образование «Город Калуга». Функции и полномочия учредителя осуществляет Городская Управа города Калуги. Главным распорядителем бюджетных средств является управление культуры города Калуги.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Финансовое обеспечение Учреждения осуществляется в соответствии с муниципальным заданием, утвержденным Учредителем.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Источниками финансового обеспечения Учреждения являются: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субсидии, предоставляемые на выполнение муниципального задания;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субсидии на иные цели; 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средства от приносящей доход деятельности.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Учреждение осуществляет закупки товаров, работ, услуг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В государственной информационной системе единой информационной системы в сфере закупок товаров, работ, услуг (ГИС ЕИС) на сайте </w:t>
      </w:r>
      <w:hyperlink r:id="rId9" w:tooltip="http://www.zakupki.gov.ru/" w:history="1">
        <w:r>
          <w:rPr>
            <w:rStyle w:val="889"/>
            <w:color w:val="auto"/>
          </w:rPr>
          <w:t xml:space="preserve">www.zakupki.gov.ru</w:t>
        </w:r>
      </w:hyperlink>
      <w:r>
        <w:rPr>
          <w:rStyle w:val="889"/>
          <w:color w:val="auto"/>
          <w:u w:val="none"/>
        </w:rPr>
        <w:t xml:space="preserve"> </w:t>
      </w:r>
      <w:r>
        <w:rPr>
          <w:rStyle w:val="889"/>
          <w:color w:val="auto"/>
          <w:u w:val="none"/>
        </w:rPr>
        <w:t xml:space="preserve">(далее — ЕИС)</w:t>
      </w:r>
      <w:r>
        <w:rPr>
          <w:color w:val="auto"/>
        </w:rPr>
        <w:t xml:space="preserve">, действующая усиленная электронная цифровая подпись имеется у зарегистрированного лица:</w:t>
      </w:r>
      <w:r/>
    </w:p>
    <w:p>
      <w:pPr>
        <w:ind w:firstLine="709"/>
        <w:jc w:val="both"/>
        <w:rPr>
          <w:color w:val="auto"/>
        </w:rPr>
      </w:pPr>
      <w:r>
        <w:rPr>
          <w:color w:val="auto"/>
        </w:rPr>
        <w:t xml:space="preserve">-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Федорова Вадима Владимировича</w:t>
      </w:r>
      <w:r>
        <w:rPr>
          <w:color w:val="auto"/>
        </w:rPr>
        <w:t xml:space="preserve"> – </w:t>
      </w:r>
      <w:r>
        <w:rPr>
          <w:color w:val="auto"/>
        </w:rPr>
        <w:t xml:space="preserve">уполномоченного лица, администратора организации, руководителя организации.</w:t>
      </w:r>
      <w:r/>
    </w:p>
    <w:p>
      <w:pPr>
        <w:ind w:left="708"/>
        <w:jc w:val="both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auto"/>
        </w:rPr>
        <w:t xml:space="preserve">Учреждение </w:t>
      </w:r>
      <w:bookmarkStart w:id="0" w:name="_GoBack"/>
      <w:r/>
      <w:bookmarkEnd w:id="0"/>
      <w:r>
        <w:rPr>
          <w:color w:val="auto"/>
        </w:rPr>
        <w:t xml:space="preserve">в 202</w:t>
      </w:r>
      <w:r>
        <w:rPr>
          <w:color w:val="auto"/>
        </w:rPr>
        <w:t xml:space="preserve">3</w:t>
      </w:r>
      <w:r>
        <w:rPr>
          <w:color w:val="auto"/>
        </w:rPr>
        <w:t xml:space="preserve"> и 202</w:t>
      </w:r>
      <w:r>
        <w:rPr>
          <w:color w:val="auto"/>
        </w:rPr>
        <w:t xml:space="preserve">4</w:t>
      </w:r>
      <w:r>
        <w:rPr>
          <w:color w:val="auto"/>
        </w:rPr>
        <w:t xml:space="preserve"> годах конкурентные процедуры не проводило. </w:t>
      </w:r>
      <w:r/>
    </w:p>
    <w:p>
      <w:pPr>
        <w:ind w:firstLine="708"/>
        <w:jc w:val="both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Cs/>
          <w:iCs/>
          <w:color w:val="auto"/>
        </w:rPr>
        <w:t xml:space="preserve">С 01.01.2019 Учреждение работает в информационной системе «WEB-Торги-КС» </w:t>
      </w:r>
      <w:r>
        <w:rPr>
          <w:bCs/>
          <w:iCs/>
          <w:color w:val="auto"/>
        </w:rPr>
        <w:t xml:space="preserve">Калужской области,</w:t>
      </w:r>
      <w:r>
        <w:rPr>
          <w:bCs/>
          <w:iCs/>
          <w:color w:val="auto"/>
        </w:rPr>
        <w:t xml:space="preserve"> из которой вся информация размещается в ЕИС.</w:t>
      </w:r>
      <w:r/>
    </w:p>
    <w:p>
      <w:pPr>
        <w:pStyle w:val="878"/>
        <w:ind w:left="0" w:firstLine="708"/>
        <w:jc w:val="both"/>
        <w:rPr>
          <w:color w:val="auto"/>
        </w:rPr>
      </w:pPr>
      <w:r>
        <w:rPr>
          <w:bCs/>
          <w:iCs/>
          <w:color w:val="auto"/>
          <w:lang w:eastAsia="ru-RU"/>
        </w:rPr>
        <w:t xml:space="preserve">В соответствии со статьей 73 БК РФ в Учреждении ведется реестр муниципальных контрактов, заключенных по основаниям части 1 статьи 93 Закона № 44-ФЗ в информационной системе «WEB-Торги-КС» Калужской области.</w:t>
      </w:r>
      <w:r/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Договора на поставку товаров, выполнение </w:t>
      </w:r>
      <w:r>
        <w:rPr>
          <w:color w:val="auto"/>
        </w:rPr>
        <w:t xml:space="preserve">работ, оказание услуг для нужд Учреждения в проверяемый период заключались по основаниям пунктов 4 и 5 части 1 статьи 93 Закона № 44-ФЗ с единственным поставщиком, подрядчиком, исполнителем с регистрацией в автоматизированной системе управления закупками «</w:t>
      </w:r>
      <w:r>
        <w:rPr>
          <w:color w:val="auto"/>
          <w:lang w:val="en-US"/>
        </w:rPr>
        <w:t xml:space="preserve">Web</w:t>
      </w:r>
      <w:r>
        <w:rPr>
          <w:color w:val="auto"/>
        </w:rPr>
        <w:t xml:space="preserve">-Торги-КС», в т.ч. с использованием системы «Маркетинговые исследования малых закупок» Калужской области (МИМЗ). Учреждением в проверяемый период допускались нарушения порядка размещения информации </w:t>
      </w:r>
      <w:r>
        <w:rPr>
          <w:bCs/>
          <w:iCs/>
          <w:color w:val="auto"/>
          <w:lang w:eastAsia="ru-RU"/>
        </w:rPr>
        <w:t xml:space="preserve">в информационной системе «WEB-Торги-КС» Калужской области</w:t>
      </w:r>
      <w:r>
        <w:rPr>
          <w:color w:val="auto"/>
        </w:rPr>
        <w:t xml:space="preserve">. </w:t>
      </w:r>
      <w:r/>
    </w:p>
    <w:p>
      <w:pPr>
        <w:contextualSpacing/>
        <w:ind w:firstLine="708"/>
        <w:jc w:val="both"/>
        <w:rPr>
          <w:color w:val="000000" w:themeColor="text1"/>
        </w:rPr>
      </w:pPr>
      <w:r>
        <w:rPr>
          <w:color w:val="auto"/>
        </w:rPr>
        <w:t xml:space="preserve">Отчет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</w:t>
      </w:r>
      <w:r>
        <w:rPr>
          <w:color w:val="000000" w:themeColor="text1"/>
        </w:rPr>
        <w:t xml:space="preserve">размещен в </w:t>
      </w:r>
      <w:r>
        <w:rPr>
          <w:color w:val="000000" w:themeColor="text1"/>
        </w:rPr>
        <w:t xml:space="preserve">ЕИС своевременно 27.02.202</w:t>
      </w:r>
      <w:r>
        <w:rPr>
          <w:color w:val="000000" w:themeColor="text1"/>
        </w:rPr>
        <w:t xml:space="preserve">3 с изменениями от 30.03.2023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</w:t>
      </w:r>
      <w:r>
        <w:rPr>
          <w:color w:val="000000" w:themeColor="text1"/>
        </w:rPr>
        <w:t xml:space="preserve">2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размещен в ЕИС своевременно 30.01.202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</w:pPr>
      <w:r>
        <w:rPr>
          <w:color w:val="auto"/>
        </w:rPr>
        <w:t xml:space="preserve">Отчет об объемах закупок у субъектов малого предпринимательства, социально ор</w:t>
      </w:r>
      <w:r>
        <w:rPr>
          <w:color w:val="000000" w:themeColor="text1"/>
        </w:rPr>
        <w:t xml:space="preserve">иентированных некоммерческих организаций за 202</w:t>
      </w:r>
      <w:r>
        <w:rPr>
          <w:color w:val="000000" w:themeColor="text1"/>
        </w:rPr>
        <w:t xml:space="preserve">3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</w:t>
      </w:r>
      <w:r>
        <w:rPr>
          <w:color w:val="000000" w:themeColor="text1"/>
        </w:rPr>
        <w:t xml:space="preserve">размещен в </w:t>
      </w:r>
      <w:r>
        <w:rPr>
          <w:color w:val="000000" w:themeColor="text1"/>
        </w:rPr>
        <w:t xml:space="preserve">ЕИС своевременно 19</w:t>
      </w:r>
      <w:r>
        <w:rPr>
          <w:color w:val="000000" w:themeColor="text1"/>
        </w:rPr>
        <w:t xml:space="preserve">.03.2024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</w:r>
      <w:r/>
    </w:p>
    <w:p>
      <w:pPr>
        <w:contextualSpacing/>
        <w:ind w:firstLine="708"/>
        <w:jc w:val="both"/>
        <w:rPr>
          <w:color w:val="000000" w:themeColor="text1"/>
          <w:highlight w:val="none"/>
        </w:rPr>
      </w:pPr>
      <w:r>
        <w:rPr>
          <w:color w:val="000000" w:themeColor="text1"/>
        </w:rPr>
        <w:t xml:space="preserve">Отчет о закупке товаров</w:t>
      </w:r>
      <w:r>
        <w:rPr>
          <w:color w:val="000000" w:themeColor="text1"/>
        </w:rPr>
        <w:t xml:space="preserve">,</w:t>
      </w:r>
      <w:r>
        <w:rPr>
          <w:color w:val="000000" w:themeColor="text1"/>
        </w:rPr>
        <w:t xml:space="preserve"> произведенных в Российской Федерации за 2023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отчетный год Учреждением размещен в ЕИС своевременно 29.02.2024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/>
    </w:p>
    <w:p>
      <w:pPr>
        <w:ind w:firstLine="708"/>
        <w:jc w:val="both"/>
        <w:rPr>
          <w:color w:val="auto"/>
        </w:rPr>
      </w:pPr>
      <w:r>
        <w:rPr>
          <w:color w:val="auto"/>
        </w:rPr>
        <w:t xml:space="preserve">Планы-графики закупок товаров, работ, услуг на 202</w:t>
      </w:r>
      <w:r>
        <w:rPr>
          <w:color w:val="auto"/>
        </w:rPr>
        <w:t xml:space="preserve">2</w:t>
      </w:r>
      <w:r>
        <w:rPr>
          <w:color w:val="auto"/>
        </w:rPr>
        <w:t xml:space="preserve"> финансовый год и на плановый период 202</w:t>
      </w:r>
      <w:r>
        <w:rPr>
          <w:color w:val="auto"/>
        </w:rPr>
        <w:t xml:space="preserve">3</w:t>
      </w:r>
      <w:r>
        <w:rPr>
          <w:color w:val="auto"/>
        </w:rPr>
        <w:t xml:space="preserve"> и 202</w:t>
      </w:r>
      <w:r>
        <w:rPr>
          <w:color w:val="auto"/>
        </w:rPr>
        <w:t xml:space="preserve">4</w:t>
      </w:r>
      <w:r>
        <w:rPr>
          <w:color w:val="auto"/>
        </w:rPr>
        <w:t xml:space="preserve"> годов утверждены </w:t>
      </w:r>
      <w:r>
        <w:rPr>
          <w:color w:val="auto"/>
        </w:rPr>
        <w:t xml:space="preserve">и размещены в ЕИС своевременно</w:t>
      </w:r>
      <w:r>
        <w:rPr>
          <w:color w:val="auto"/>
        </w:rPr>
        <w:t xml:space="preserve"> с использованием усиленной электронной подп</w:t>
      </w:r>
      <w:r>
        <w:rPr>
          <w:color w:val="auto"/>
        </w:rPr>
        <w:t xml:space="preserve">и</w:t>
      </w:r>
      <w:r>
        <w:rPr>
          <w:color w:val="auto"/>
        </w:rPr>
        <w:t xml:space="preserve">си руководителя</w:t>
      </w:r>
      <w:r>
        <w:rPr>
          <w:color w:val="auto"/>
        </w:rPr>
        <w:t xml:space="preserve"> Учреждения.</w:t>
      </w:r>
      <w:r>
        <w:rPr>
          <w:color w:val="auto"/>
        </w:rPr>
        <w:t xml:space="preserve"> </w:t>
      </w:r>
      <w:r>
        <w:rPr>
          <w:color w:val="auto"/>
        </w:rPr>
      </w:r>
      <w:r/>
    </w:p>
    <w:p>
      <w:pPr>
        <w:pStyle w:val="878"/>
        <w:ind w:left="0" w:firstLine="708"/>
        <w:jc w:val="both"/>
        <w:rPr>
          <w:color w:val="auto"/>
        </w:rPr>
      </w:pPr>
      <w:r>
        <w:rPr>
          <w:color w:val="auto"/>
          <w:lang w:eastAsia="ru-RU"/>
        </w:rPr>
        <w:t xml:space="preserve">Первичный план-график зак</w:t>
      </w:r>
      <w:r>
        <w:rPr>
          <w:color w:val="auto"/>
          <w:lang w:eastAsia="ru-RU"/>
        </w:rPr>
        <w:t xml:space="preserve">упок товаров, работ, услуг для обеспечения нужд субъекта Российской Федерации и муниципальных нужд на 2023 финансовый год № 202303373000166001 базовой версии 0.0 размещен в ЕИС 13.01.2023. На 31.12.2023 действовала версия 3.0, размещенная в ЕИС 29.12.2023.</w:t>
      </w:r>
      <w:r>
        <w:rPr>
          <w:color w:val="auto"/>
        </w:rPr>
      </w:r>
      <w:r/>
    </w:p>
    <w:p>
      <w:pPr>
        <w:pStyle w:val="878"/>
        <w:ind w:left="0" w:firstLine="708"/>
        <w:jc w:val="both"/>
        <w:rPr>
          <w:color w:val="auto"/>
          <w:highlight w:val="none"/>
        </w:rPr>
      </w:pPr>
      <w:r>
        <w:rPr>
          <w:color w:val="auto"/>
          <w:lang w:eastAsia="ru-RU"/>
        </w:rPr>
        <w:t xml:space="preserve">Первичный план-график закупо</w:t>
      </w:r>
      <w:r>
        <w:rPr>
          <w:color w:val="auto"/>
          <w:lang w:eastAsia="ru-RU"/>
        </w:rPr>
        <w:t xml:space="preserve">к товаров, работ, услуг для обеспечения нужд субъекта Российской Федерации и муниципальных нужд на 2024 финансовый год № 202403373000166001 базовой версии 0.0 размещен в ЕИС 15.01.2024. На момент проверки действует версия 2.0, размещенная в ЕИС 16.05.2024.</w:t>
      </w:r>
      <w:r>
        <w:rPr>
          <w:color w:val="auto"/>
        </w:rPr>
      </w:r>
      <w:r/>
    </w:p>
    <w:p>
      <w:pPr>
        <w:pStyle w:val="878"/>
        <w:ind w:left="0" w:firstLine="708"/>
        <w:jc w:val="both"/>
        <w:rPr>
          <w:color w:val="000000" w:themeColor="text1"/>
        </w:rPr>
      </w:pPr>
      <w:r>
        <w:rPr>
          <w:color w:val="000000" w:themeColor="text1"/>
          <w:lang w:eastAsia="ru-RU"/>
        </w:rPr>
        <w:t xml:space="preserve">Совокупный годовой объем финансирования закупок товаров, работ, услуг на 2024 год составляет 3 345 900 рублей 00 копейки. На момент проверки в ЕИС 16.05.2024 размещена версия 2.0 плана-графика закупок на сумму 3 140 800 рублей 00 копеек.</w:t>
      </w:r>
      <w:r>
        <w:rPr>
          <w:color w:val="000000" w:themeColor="text1"/>
        </w:rPr>
      </w:r>
      <w:r/>
    </w:p>
    <w:p>
      <w:pPr>
        <w:jc w:val="both"/>
        <w:rPr>
          <w:color w:val="auto"/>
        </w:rPr>
      </w:pPr>
      <w:r>
        <w:rPr>
          <w:color w:val="auto"/>
        </w:rPr>
        <w:tab/>
        <w:t xml:space="preserve">В ходе выборочной проверки заключенных Учреждением в 202</w:t>
      </w:r>
      <w:r>
        <w:rPr>
          <w:color w:val="auto"/>
        </w:rPr>
        <w:t xml:space="preserve">3-2024</w:t>
      </w:r>
      <w:r>
        <w:rPr>
          <w:color w:val="auto"/>
        </w:rPr>
        <w:t xml:space="preserve"> год</w:t>
      </w:r>
      <w:r>
        <w:rPr>
          <w:color w:val="auto"/>
        </w:rPr>
        <w:t xml:space="preserve">ах</w:t>
      </w:r>
      <w:r>
        <w:rPr>
          <w:color w:val="auto"/>
        </w:rPr>
        <w:t xml:space="preserve"> договоров, установлено, что в </w:t>
      </w:r>
      <w:r>
        <w:rPr>
          <w:color w:val="auto"/>
        </w:rPr>
        <w:t xml:space="preserve">ряде договоров отсутствуют либо указаны с наруш</w:t>
      </w:r>
      <w:r>
        <w:rPr>
          <w:color w:val="auto"/>
        </w:rPr>
        <w:t xml:space="preserve">ением существенные условия (статья 34 Закона № 44-ФЗ): не указан порядок и сроки оплаты исполненного договора; отсутствует указание на неизменность цены договора; указанная ответственность сторон не соответствует требованиям Постановления Правительства РФ </w:t>
      </w:r>
      <w:r>
        <w:rPr>
          <w:color w:val="auto"/>
        </w:rPr>
        <w:t xml:space="preserve">от 30.08.2017</w:t>
      </w:r>
      <w:r>
        <w:rPr>
          <w:color w:val="auto"/>
        </w:rPr>
        <w:t xml:space="preserve"> № 1042.</w:t>
      </w:r>
      <w:r/>
    </w:p>
    <w:p>
      <w:pPr>
        <w:pStyle w:val="878"/>
        <w:ind w:left="0" w:firstLine="708"/>
        <w:jc w:val="both"/>
        <w:rPr>
          <w:color w:val="auto"/>
        </w:rPr>
      </w:pPr>
      <w:r>
        <w:rPr>
          <w:color w:val="auto"/>
        </w:rPr>
      </w:r>
      <w:r/>
    </w:p>
    <w:p>
      <w:pPr>
        <w:pStyle w:val="878"/>
        <w:ind w:left="0" w:firstLine="708"/>
        <w:jc w:val="both"/>
        <w:rPr>
          <w:b/>
          <w:bCs/>
        </w:rPr>
      </w:pPr>
      <w:r>
        <w:rPr>
          <w:b/>
          <w:bCs/>
        </w:rPr>
        <w:t xml:space="preserve">Выводы:</w:t>
      </w:r>
      <w:r/>
    </w:p>
    <w:p>
      <w:pPr>
        <w:ind w:firstLine="709"/>
        <w:jc w:val="both"/>
        <w:tabs>
          <w:tab w:val="left" w:pos="0" w:leader="none"/>
          <w:tab w:val="left" w:pos="993" w:leader="none"/>
        </w:tabs>
      </w:pPr>
      <w:r>
        <w:t xml:space="preserve">1. Направить Акт проверки Учреждению.</w:t>
      </w:r>
      <w:r/>
    </w:p>
    <w:p>
      <w:pPr>
        <w:ind w:firstLine="709"/>
        <w:jc w:val="both"/>
        <w:tabs>
          <w:tab w:val="left" w:pos="0" w:leader="none"/>
        </w:tabs>
      </w:pPr>
      <w:r>
        <w:t xml:space="preserve">2. Разместить настоящий Акт проверки в единой информацио</w:t>
      </w:r>
      <w:r>
        <w:t xml:space="preserve">нной системе в сфере закупок (ГИС ЕИС).</w:t>
      </w:r>
      <w:r/>
    </w:p>
    <w:p>
      <w:pPr>
        <w:pStyle w:val="878"/>
        <w:ind w:left="0" w:firstLine="708"/>
        <w:jc w:val="both"/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878"/>
        <w:ind w:left="0" w:firstLine="708"/>
        <w:jc w:val="both"/>
        <w:rPr>
          <w:highlight w:val="none"/>
        </w:rPr>
      </w:pPr>
      <w:r>
        <w:rPr>
          <w:bCs/>
        </w:rPr>
        <w:t xml:space="preserve"> Акт составлен в 2-х экземплярах на 3</w:t>
      </w:r>
      <w:r>
        <w:rPr>
          <w:bCs/>
        </w:rPr>
        <w:t xml:space="preserve"> листах.</w:t>
      </w:r>
      <w:r/>
    </w:p>
    <w:p>
      <w:pPr>
        <w:pStyle w:val="878"/>
        <w:ind w:left="0"/>
        <w:jc w:val="both"/>
        <w:rPr>
          <w:bCs/>
        </w:rPr>
      </w:pPr>
      <w:r>
        <w:rPr>
          <w:bCs/>
        </w:rPr>
      </w:r>
      <w:r/>
    </w:p>
    <w:tbl>
      <w:tblPr>
        <w:tblW w:w="0" w:type="auto"/>
        <w:tblInd w:w="-106" w:type="dxa"/>
        <w:tblLayout w:type="fixed"/>
        <w:tblLook w:val="04A0" w:firstRow="1" w:lastRow="0" w:firstColumn="1" w:lastColumn="0" w:noHBand="0" w:noVBand="1"/>
      </w:tblPr>
      <w:tblGrid>
        <w:gridCol w:w="4042"/>
        <w:gridCol w:w="2162"/>
        <w:gridCol w:w="3508"/>
      </w:tblGrid>
      <w:tr>
        <w:trPr>
          <w:trHeight w:val="119"/>
        </w:trPr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Председатель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Бубич</w:t>
            </w:r>
            <w:r>
              <w:rPr>
                <w:bCs/>
              </w:rPr>
              <w:t xml:space="preserve"> И.Ю.</w:t>
            </w:r>
            <w:r/>
          </w:p>
          <w:p>
            <w:pPr>
              <w:pStyle w:val="878"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Члены комиссии: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Смирнов Г.В.</w:t>
            </w:r>
            <w:r/>
          </w:p>
          <w:p>
            <w:pPr>
              <w:rPr>
                <w:bCs/>
              </w:rPr>
            </w:pPr>
            <w:r>
              <w:rPr>
                <w:bCs/>
              </w:rPr>
            </w:r>
            <w:r/>
          </w:p>
        </w:tc>
      </w:tr>
      <w:tr>
        <w:trPr/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42" w:type="dxa"/>
            <w:textDirection w:val="lrTb"/>
            <w:noWrap w:val="false"/>
          </w:tcPr>
          <w:p>
            <w:pPr>
              <w:pStyle w:val="878"/>
              <w:ind w:left="0"/>
              <w:jc w:val="both"/>
              <w:rPr>
                <w:bCs/>
              </w:rPr>
            </w:pPr>
            <w:r>
              <w:rPr>
                <w:bCs/>
              </w:rPr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162" w:type="dxa"/>
            <w:textDirection w:val="lrTb"/>
            <w:noWrap w:val="false"/>
          </w:tcPr>
          <w:p>
            <w:pPr>
              <w:pStyle w:val="878"/>
              <w:ind w:left="0"/>
              <w:jc w:val="both"/>
            </w:pPr>
            <w:r>
              <w:rPr>
                <w:bCs/>
              </w:rPr>
              <w:t xml:space="preserve">________________</w:t>
            </w:r>
            <w:r/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8" w:type="dxa"/>
            <w:textDirection w:val="lrTb"/>
            <w:noWrap w:val="false"/>
          </w:tcPr>
          <w:p>
            <w:r>
              <w:rPr>
                <w:bCs/>
              </w:rPr>
              <w:t xml:space="preserve">Радова</w:t>
            </w:r>
            <w:r>
              <w:rPr>
                <w:bCs/>
              </w:rPr>
              <w:t xml:space="preserve"> Н.С.</w:t>
            </w:r>
            <w:r/>
          </w:p>
          <w:p>
            <w:r/>
            <w:r/>
          </w:p>
        </w:tc>
      </w:tr>
    </w:tbl>
    <w:p>
      <w:pPr>
        <w:ind w:firstLine="709"/>
        <w:jc w:val="both"/>
        <w:widowControl w:val="off"/>
      </w:pPr>
      <w:r/>
      <w:r/>
    </w:p>
    <w:p>
      <w:pPr>
        <w:ind w:firstLine="709"/>
        <w:jc w:val="both"/>
        <w:widowControl w:val="off"/>
      </w:pPr>
      <w:r>
        <w:t xml:space="preserve">В случае несогласия с вынесенным решением Вы имеете право в течение 10 рабочих дней со дня получения копии акта проверки, представить </w:t>
      </w:r>
      <w:r>
        <w:t xml:space="preserve">письменные возражения по фактам, изложенным в акте проверки</w:t>
      </w:r>
      <w:r>
        <w:t xml:space="preserve"> </w:t>
      </w:r>
      <w:r>
        <w:t xml:space="preserve">в орган ведомственного контроля в сфере закупок управления культуры города Калуги, по адресу: г. Калуга, ул. Салтыкова-Щед</w:t>
      </w:r>
      <w:r>
        <w:t xml:space="preserve">рина, дом 72</w:t>
      </w:r>
      <w:r>
        <w:t xml:space="preserve">.</w:t>
      </w:r>
      <w:r/>
    </w:p>
    <w:p>
      <w:pPr>
        <w:ind w:firstLine="390"/>
        <w:jc w:val="both"/>
      </w:pPr>
      <w:r/>
      <w:r/>
    </w:p>
    <w:p>
      <w:pPr>
        <w:ind w:firstLine="390"/>
        <w:jc w:val="both"/>
      </w:pPr>
      <w:r>
        <w:t xml:space="preserve">Акт получил:</w:t>
      </w:r>
      <w:r/>
    </w:p>
    <w:p>
      <w:pPr>
        <w:ind w:firstLine="390"/>
        <w:jc w:val="both"/>
      </w:pPr>
      <w:r>
        <w:t xml:space="preserve">_______________________________</w:t>
      </w:r>
      <w:r>
        <w:tab/>
      </w:r>
      <w:r>
        <w:tab/>
        <w:t xml:space="preserve">                                    </w:t>
      </w:r>
      <w:r>
        <w:t xml:space="preserve">   «</w:t>
      </w:r>
      <w:r>
        <w:t xml:space="preserve">___» </w:t>
      </w:r>
      <w:r>
        <w:t xml:space="preserve">мая</w:t>
      </w:r>
      <w:r>
        <w:t xml:space="preserve"> 202</w:t>
      </w:r>
      <w:r>
        <w:t xml:space="preserve">4</w:t>
      </w:r>
      <w:r>
        <w:t xml:space="preserve"> года</w:t>
      </w:r>
      <w:r/>
    </w:p>
    <w:p>
      <w:pPr>
        <w:ind w:firstLine="390"/>
        <w:jc w:val="both"/>
      </w:pPr>
      <w:r>
        <w:t xml:space="preserve">           (должность, подпись, ФИО)</w:t>
      </w:r>
      <w:r/>
    </w:p>
    <w:sectPr>
      <w:footnotePr/>
      <w:endnotePr/>
      <w:type w:val="nextPage"/>
      <w:pgSz w:w="11906" w:h="16838" w:orient="portrait"/>
      <w:pgMar w:top="851" w:right="566" w:bottom="709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56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657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658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659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39">
    <w:name w:val="Heading 2 Char"/>
    <w:basedOn w:val="665"/>
    <w:link w:val="657"/>
    <w:uiPriority w:val="9"/>
    <w:rPr>
      <w:rFonts w:ascii="Arial" w:hAnsi="Arial" w:eastAsia="Arial" w:cs="Arial"/>
      <w:sz w:val="34"/>
    </w:rPr>
  </w:style>
  <w:style w:type="character" w:styleId="640">
    <w:name w:val="Heading 3 Char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41">
    <w:name w:val="Heading 4 Char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42">
    <w:name w:val="Heading 5 Char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43">
    <w:name w:val="Heading 6 Char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44">
    <w:name w:val="Heading 7 Char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5">
    <w:name w:val="Heading 8 Char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46">
    <w:name w:val="Heading 9 Char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47">
    <w:name w:val="Title Char"/>
    <w:basedOn w:val="665"/>
    <w:link w:val="677"/>
    <w:uiPriority w:val="10"/>
    <w:rPr>
      <w:sz w:val="48"/>
      <w:szCs w:val="48"/>
    </w:rPr>
  </w:style>
  <w:style w:type="character" w:styleId="648">
    <w:name w:val="Subtitle Char"/>
    <w:basedOn w:val="665"/>
    <w:link w:val="679"/>
    <w:uiPriority w:val="11"/>
    <w:rPr>
      <w:sz w:val="24"/>
      <w:szCs w:val="24"/>
    </w:rPr>
  </w:style>
  <w:style w:type="character" w:styleId="649">
    <w:name w:val="Quote Char"/>
    <w:link w:val="681"/>
    <w:uiPriority w:val="29"/>
    <w:rPr>
      <w:i/>
    </w:rPr>
  </w:style>
  <w:style w:type="character" w:styleId="650">
    <w:name w:val="Intense Quote Char"/>
    <w:link w:val="683"/>
    <w:uiPriority w:val="30"/>
    <w:rPr>
      <w:i/>
    </w:rPr>
  </w:style>
  <w:style w:type="character" w:styleId="651">
    <w:name w:val="Header Char"/>
    <w:basedOn w:val="665"/>
    <w:link w:val="685"/>
    <w:uiPriority w:val="99"/>
  </w:style>
  <w:style w:type="character" w:styleId="652">
    <w:name w:val="Caption Char"/>
    <w:basedOn w:val="689"/>
    <w:link w:val="687"/>
    <w:uiPriority w:val="99"/>
  </w:style>
  <w:style w:type="character" w:styleId="653">
    <w:name w:val="Footnote Text Char"/>
    <w:link w:val="818"/>
    <w:uiPriority w:val="99"/>
    <w:rPr>
      <w:sz w:val="18"/>
    </w:rPr>
  </w:style>
  <w:style w:type="character" w:styleId="654">
    <w:name w:val="Endnote Text Char"/>
    <w:link w:val="820"/>
    <w:uiPriority w:val="99"/>
    <w:rPr>
      <w:sz w:val="20"/>
    </w:rPr>
  </w:style>
  <w:style w:type="paragraph" w:styleId="655" w:default="1">
    <w:name w:val="Normal"/>
    <w:rPr>
      <w:color w:val="00000a"/>
      <w:sz w:val="24"/>
      <w:szCs w:val="24"/>
      <w:lang w:eastAsia="ru-RU"/>
    </w:rPr>
  </w:style>
  <w:style w:type="paragraph" w:styleId="656">
    <w:name w:val="Heading 1"/>
    <w:basedOn w:val="655"/>
    <w:next w:val="863"/>
    <w:link w:val="668"/>
    <w:pPr>
      <w:numPr>
        <w:numId w:val="1"/>
      </w:numPr>
      <w:ind w:left="0" w:firstLine="0"/>
      <w:jc w:val="center"/>
      <w:keepNext/>
      <w:outlineLvl w:val="0"/>
    </w:pPr>
    <w:rPr>
      <w:szCs w:val="20"/>
    </w:rPr>
  </w:style>
  <w:style w:type="paragraph" w:styleId="657">
    <w:name w:val="Heading 2"/>
    <w:basedOn w:val="655"/>
    <w:next w:val="863"/>
    <w:link w:val="669"/>
    <w:pPr>
      <w:numPr>
        <w:ilvl w:val="1"/>
        <w:numId w:val="1"/>
      </w:numPr>
      <w:keepNext/>
      <w:outlineLvl w:val="1"/>
    </w:pPr>
    <w:rPr>
      <w:b/>
      <w:bCs/>
    </w:rPr>
  </w:style>
  <w:style w:type="paragraph" w:styleId="658">
    <w:name w:val="Heading 3"/>
    <w:basedOn w:val="677"/>
    <w:next w:val="863"/>
    <w:link w:val="670"/>
    <w:pPr>
      <w:numPr>
        <w:ilvl w:val="2"/>
        <w:numId w:val="1"/>
      </w:numPr>
      <w:outlineLvl w:val="2"/>
    </w:pPr>
  </w:style>
  <w:style w:type="paragraph" w:styleId="659">
    <w:name w:val="Heading 4"/>
    <w:basedOn w:val="655"/>
    <w:next w:val="863"/>
    <w:link w:val="671"/>
    <w:pPr>
      <w:numPr>
        <w:ilvl w:val="3"/>
        <w:numId w:val="1"/>
      </w:num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60">
    <w:name w:val="Heading 5"/>
    <w:basedOn w:val="655"/>
    <w:next w:val="655"/>
    <w:link w:val="6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1">
    <w:name w:val="Heading 6"/>
    <w:basedOn w:val="655"/>
    <w:next w:val="65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655"/>
    <w:next w:val="655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655"/>
    <w:next w:val="655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4">
    <w:name w:val="Heading 9"/>
    <w:basedOn w:val="655"/>
    <w:next w:val="65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Заголовок 1 Знак"/>
    <w:basedOn w:val="665"/>
    <w:link w:val="656"/>
    <w:uiPriority w:val="9"/>
    <w:rPr>
      <w:rFonts w:ascii="Arial" w:hAnsi="Arial" w:eastAsia="Arial" w:cs="Arial"/>
      <w:sz w:val="40"/>
      <w:szCs w:val="40"/>
    </w:rPr>
  </w:style>
  <w:style w:type="character" w:styleId="669" w:customStyle="1">
    <w:name w:val="Заголовок 2 Знак"/>
    <w:basedOn w:val="665"/>
    <w:link w:val="657"/>
    <w:uiPriority w:val="9"/>
    <w:rPr>
      <w:rFonts w:ascii="Arial" w:hAnsi="Arial" w:eastAsia="Arial" w:cs="Arial"/>
      <w:sz w:val="34"/>
    </w:rPr>
  </w:style>
  <w:style w:type="character" w:styleId="670" w:customStyle="1">
    <w:name w:val="Заголовок 3 Знак"/>
    <w:basedOn w:val="665"/>
    <w:link w:val="658"/>
    <w:uiPriority w:val="9"/>
    <w:rPr>
      <w:rFonts w:ascii="Arial" w:hAnsi="Arial" w:eastAsia="Arial" w:cs="Arial"/>
      <w:sz w:val="30"/>
      <w:szCs w:val="30"/>
    </w:rPr>
  </w:style>
  <w:style w:type="character" w:styleId="671" w:customStyle="1">
    <w:name w:val="Заголовок 4 Знак1"/>
    <w:basedOn w:val="665"/>
    <w:link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Заголовок 5 Знак"/>
    <w:basedOn w:val="665"/>
    <w:link w:val="660"/>
    <w:uiPriority w:val="9"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655"/>
    <w:next w:val="863"/>
    <w:link w:val="678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character" w:styleId="678" w:customStyle="1">
    <w:name w:val="Заголовок Знак"/>
    <w:basedOn w:val="665"/>
    <w:link w:val="677"/>
    <w:uiPriority w:val="10"/>
    <w:rPr>
      <w:sz w:val="48"/>
      <w:szCs w:val="48"/>
    </w:rPr>
  </w:style>
  <w:style w:type="paragraph" w:styleId="679">
    <w:name w:val="Subtitle"/>
    <w:basedOn w:val="655"/>
    <w:next w:val="655"/>
    <w:link w:val="680"/>
    <w:pPr>
      <w:jc w:val="center"/>
    </w:pPr>
    <w:rPr>
      <w:b/>
      <w:bCs/>
      <w:sz w:val="28"/>
    </w:rPr>
  </w:style>
  <w:style w:type="character" w:styleId="680" w:customStyle="1">
    <w:name w:val="Подзаголовок Знак1"/>
    <w:basedOn w:val="665"/>
    <w:link w:val="679"/>
    <w:uiPriority w:val="11"/>
    <w:rPr>
      <w:sz w:val="24"/>
      <w:szCs w:val="24"/>
    </w:rPr>
  </w:style>
  <w:style w:type="paragraph" w:styleId="681">
    <w:name w:val="Quote"/>
    <w:basedOn w:val="655"/>
    <w:next w:val="655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5"/>
    <w:next w:val="655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5"/>
    <w:link w:val="686"/>
    <w:pPr>
      <w:tabs>
        <w:tab w:val="center" w:pos="4677" w:leader="none"/>
        <w:tab w:val="right" w:pos="9355" w:leader="none"/>
      </w:tabs>
    </w:pPr>
  </w:style>
  <w:style w:type="character" w:styleId="686" w:customStyle="1">
    <w:name w:val="Верхний колонтитул Знак1"/>
    <w:basedOn w:val="665"/>
    <w:link w:val="685"/>
    <w:uiPriority w:val="99"/>
  </w:style>
  <w:style w:type="paragraph" w:styleId="687">
    <w:name w:val="Footer"/>
    <w:basedOn w:val="655"/>
    <w:link w:val="690"/>
    <w:pPr>
      <w:tabs>
        <w:tab w:val="center" w:pos="4677" w:leader="none"/>
        <w:tab w:val="right" w:pos="9355" w:leader="none"/>
      </w:tabs>
    </w:pPr>
  </w:style>
  <w:style w:type="character" w:styleId="688" w:customStyle="1">
    <w:name w:val="Footer Char"/>
    <w:basedOn w:val="665"/>
    <w:uiPriority w:val="99"/>
  </w:style>
  <w:style w:type="paragraph" w:styleId="689">
    <w:name w:val="Caption"/>
    <w:basedOn w:val="655"/>
    <w:pPr>
      <w:spacing w:before="120" w:after="120"/>
      <w:suppressLineNumbers/>
    </w:pPr>
    <w:rPr>
      <w:i/>
      <w:iCs/>
    </w:rPr>
  </w:style>
  <w:style w:type="character" w:styleId="690" w:customStyle="1">
    <w:name w:val="Нижний колонтитул Знак1"/>
    <w:link w:val="687"/>
    <w:uiPriority w:val="99"/>
  </w:style>
  <w:style w:type="table" w:styleId="69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7">
    <w:name w:val="Hyperlink"/>
    <w:rPr>
      <w:color w:val="0000ff"/>
      <w:u w:val="single"/>
    </w:rPr>
  </w:style>
  <w:style w:type="paragraph" w:styleId="818">
    <w:name w:val="footnote text"/>
    <w:basedOn w:val="655"/>
    <w:link w:val="819"/>
    <w:uiPriority w:val="99"/>
    <w:semiHidden/>
    <w:unhideWhenUsed/>
    <w:pPr>
      <w:spacing w:after="40"/>
    </w:pPr>
    <w:rPr>
      <w:sz w:val="18"/>
    </w:rPr>
  </w:style>
  <w:style w:type="character" w:styleId="819" w:customStyle="1">
    <w:name w:val="Текст сноски Знак"/>
    <w:link w:val="818"/>
    <w:uiPriority w:val="99"/>
    <w:rPr>
      <w:sz w:val="18"/>
    </w:rPr>
  </w:style>
  <w:style w:type="paragraph" w:styleId="820">
    <w:name w:val="endnote text"/>
    <w:basedOn w:val="655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5"/>
    <w:uiPriority w:val="99"/>
    <w:semiHidden/>
    <w:unhideWhenUsed/>
    <w:rPr>
      <w:vertAlign w:val="superscript"/>
    </w:rPr>
  </w:style>
  <w:style w:type="paragraph" w:styleId="823">
    <w:name w:val="toc 1"/>
    <w:basedOn w:val="655"/>
    <w:next w:val="655"/>
    <w:uiPriority w:val="39"/>
    <w:unhideWhenUsed/>
    <w:pPr>
      <w:spacing w:after="57"/>
    </w:pPr>
  </w:style>
  <w:style w:type="paragraph" w:styleId="824">
    <w:name w:val="toc 2"/>
    <w:basedOn w:val="655"/>
    <w:next w:val="655"/>
    <w:uiPriority w:val="39"/>
    <w:unhideWhenUsed/>
    <w:pPr>
      <w:ind w:left="283"/>
      <w:spacing w:after="57"/>
    </w:pPr>
  </w:style>
  <w:style w:type="paragraph" w:styleId="825">
    <w:name w:val="toc 3"/>
    <w:basedOn w:val="655"/>
    <w:next w:val="655"/>
    <w:uiPriority w:val="39"/>
    <w:unhideWhenUsed/>
    <w:pPr>
      <w:ind w:left="567"/>
      <w:spacing w:after="57"/>
    </w:pPr>
  </w:style>
  <w:style w:type="paragraph" w:styleId="826">
    <w:name w:val="toc 4"/>
    <w:basedOn w:val="655"/>
    <w:next w:val="655"/>
    <w:uiPriority w:val="39"/>
    <w:unhideWhenUsed/>
    <w:pPr>
      <w:ind w:left="850"/>
      <w:spacing w:after="57"/>
    </w:pPr>
  </w:style>
  <w:style w:type="paragraph" w:styleId="827">
    <w:name w:val="toc 5"/>
    <w:basedOn w:val="655"/>
    <w:next w:val="655"/>
    <w:uiPriority w:val="39"/>
    <w:unhideWhenUsed/>
    <w:pPr>
      <w:ind w:left="1134"/>
      <w:spacing w:after="57"/>
    </w:pPr>
  </w:style>
  <w:style w:type="paragraph" w:styleId="828">
    <w:name w:val="toc 6"/>
    <w:basedOn w:val="655"/>
    <w:next w:val="655"/>
    <w:uiPriority w:val="39"/>
    <w:unhideWhenUsed/>
    <w:pPr>
      <w:ind w:left="1417"/>
      <w:spacing w:after="57"/>
    </w:pPr>
  </w:style>
  <w:style w:type="paragraph" w:styleId="829">
    <w:name w:val="toc 7"/>
    <w:basedOn w:val="655"/>
    <w:next w:val="655"/>
    <w:uiPriority w:val="39"/>
    <w:unhideWhenUsed/>
    <w:pPr>
      <w:ind w:left="1701"/>
      <w:spacing w:after="57"/>
    </w:pPr>
  </w:style>
  <w:style w:type="paragraph" w:styleId="830">
    <w:name w:val="toc 8"/>
    <w:basedOn w:val="655"/>
    <w:next w:val="655"/>
    <w:uiPriority w:val="39"/>
    <w:unhideWhenUsed/>
    <w:pPr>
      <w:ind w:left="1984"/>
      <w:spacing w:after="57"/>
    </w:pPr>
  </w:style>
  <w:style w:type="paragraph" w:styleId="831">
    <w:name w:val="toc 9"/>
    <w:basedOn w:val="655"/>
    <w:next w:val="655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5"/>
    <w:next w:val="655"/>
    <w:uiPriority w:val="99"/>
    <w:unhideWhenUsed/>
  </w:style>
  <w:style w:type="character" w:styleId="834" w:customStyle="1">
    <w:name w:val="WW8Num1z0"/>
  </w:style>
  <w:style w:type="character" w:styleId="835" w:customStyle="1">
    <w:name w:val="WW8Num1z1"/>
  </w:style>
  <w:style w:type="character" w:styleId="836" w:customStyle="1">
    <w:name w:val="WW8Num1z2"/>
  </w:style>
  <w:style w:type="character" w:styleId="837" w:customStyle="1">
    <w:name w:val="WW8Num1z3"/>
  </w:style>
  <w:style w:type="character" w:styleId="838" w:customStyle="1">
    <w:name w:val="WW8Num1z4"/>
  </w:style>
  <w:style w:type="character" w:styleId="839" w:customStyle="1">
    <w:name w:val="WW8Num1z5"/>
  </w:style>
  <w:style w:type="character" w:styleId="840" w:customStyle="1">
    <w:name w:val="WW8Num1z6"/>
  </w:style>
  <w:style w:type="character" w:styleId="841" w:customStyle="1">
    <w:name w:val="WW8Num1z7"/>
  </w:style>
  <w:style w:type="character" w:styleId="842" w:customStyle="1">
    <w:name w:val="WW8Num1z8"/>
  </w:style>
  <w:style w:type="character" w:styleId="843" w:customStyle="1">
    <w:name w:val="WW8Num2z0"/>
    <w:rPr>
      <w:rFonts w:eastAsia="Calibri"/>
      <w:lang w:eastAsia="en-US"/>
    </w:rPr>
  </w:style>
  <w:style w:type="character" w:styleId="844" w:customStyle="1">
    <w:name w:val="WW8Num2z1"/>
  </w:style>
  <w:style w:type="character" w:styleId="845" w:customStyle="1">
    <w:name w:val="WW8Num2z2"/>
  </w:style>
  <w:style w:type="character" w:styleId="846" w:customStyle="1">
    <w:name w:val="WW8Num2z3"/>
  </w:style>
  <w:style w:type="character" w:styleId="847" w:customStyle="1">
    <w:name w:val="WW8Num2z4"/>
  </w:style>
  <w:style w:type="character" w:styleId="848" w:customStyle="1">
    <w:name w:val="WW8Num2z5"/>
  </w:style>
  <w:style w:type="character" w:styleId="849" w:customStyle="1">
    <w:name w:val="WW8Num2z6"/>
  </w:style>
  <w:style w:type="character" w:styleId="850" w:customStyle="1">
    <w:name w:val="WW8Num2z7"/>
  </w:style>
  <w:style w:type="character" w:styleId="851" w:customStyle="1">
    <w:name w:val="WW8Num2z8"/>
  </w:style>
  <w:style w:type="character" w:styleId="852" w:customStyle="1">
    <w:name w:val="Заголовок 4 Знак"/>
    <w:rPr>
      <w:rFonts w:ascii="Calibri" w:hAnsi="Calibri" w:eastAsia="Times New Roman"/>
      <w:b/>
      <w:bCs/>
      <w:sz w:val="28"/>
      <w:szCs w:val="28"/>
    </w:rPr>
  </w:style>
  <w:style w:type="character" w:styleId="853">
    <w:name w:val="footnote reference"/>
    <w:rPr>
      <w:vertAlign w:val="superscript"/>
    </w:rPr>
  </w:style>
  <w:style w:type="character" w:styleId="854" w:customStyle="1">
    <w:name w:val="Цветовое выделение"/>
    <w:rPr>
      <w:b/>
      <w:bCs/>
      <w:color w:val="26282f"/>
    </w:rPr>
  </w:style>
  <w:style w:type="character" w:styleId="855" w:customStyle="1">
    <w:name w:val="Гипертекстовая ссылка"/>
    <w:rPr>
      <w:b/>
      <w:bCs/>
      <w:color w:val="106bbe"/>
    </w:rPr>
  </w:style>
  <w:style w:type="character" w:styleId="856" w:customStyle="1">
    <w:name w:val="Подзаголовок Знак"/>
    <w:rPr>
      <w:b/>
      <w:bCs/>
      <w:sz w:val="28"/>
      <w:szCs w:val="24"/>
    </w:rPr>
  </w:style>
  <w:style w:type="character" w:styleId="857" w:customStyle="1">
    <w:name w:val="Верхний колонтитул Знак"/>
    <w:rPr>
      <w:sz w:val="24"/>
      <w:szCs w:val="24"/>
    </w:rPr>
  </w:style>
  <w:style w:type="character" w:styleId="858" w:customStyle="1">
    <w:name w:val="Нижний колонтитул Знак"/>
    <w:rPr>
      <w:sz w:val="24"/>
      <w:szCs w:val="24"/>
    </w:rPr>
  </w:style>
  <w:style w:type="character" w:styleId="859" w:customStyle="1">
    <w:name w:val="ListLabel 1"/>
    <w:rPr>
      <w:b/>
    </w:rPr>
  </w:style>
  <w:style w:type="character" w:styleId="860" w:customStyle="1">
    <w:name w:val="ListLabel 2"/>
    <w:rPr>
      <w:sz w:val="24"/>
      <w:szCs w:val="24"/>
    </w:rPr>
  </w:style>
  <w:style w:type="character" w:styleId="861" w:customStyle="1">
    <w:name w:val="ListLabel 3"/>
  </w:style>
  <w:style w:type="character" w:styleId="862" w:customStyle="1">
    <w:name w:val="ListLabel 4"/>
    <w:rPr>
      <w:sz w:val="24"/>
    </w:rPr>
  </w:style>
  <w:style w:type="paragraph" w:styleId="863">
    <w:name w:val="Body Text"/>
    <w:basedOn w:val="655"/>
    <w:pPr>
      <w:spacing w:after="140" w:line="288" w:lineRule="auto"/>
    </w:pPr>
  </w:style>
  <w:style w:type="paragraph" w:styleId="864">
    <w:name w:val="List"/>
    <w:basedOn w:val="863"/>
  </w:style>
  <w:style w:type="paragraph" w:styleId="865" w:customStyle="1">
    <w:name w:val="Указатель1"/>
    <w:basedOn w:val="655"/>
    <w:pPr>
      <w:suppressLineNumbers/>
    </w:pPr>
  </w:style>
  <w:style w:type="paragraph" w:styleId="866">
    <w:name w:val="Balloon Text"/>
    <w:basedOn w:val="655"/>
    <w:rPr>
      <w:rFonts w:ascii="Tahoma" w:hAnsi="Tahoma"/>
      <w:sz w:val="16"/>
      <w:szCs w:val="16"/>
    </w:rPr>
  </w:style>
  <w:style w:type="paragraph" w:styleId="867" w:customStyle="1">
    <w:name w:val="ConsPlusTitle"/>
    <w:pPr>
      <w:widowControl w:val="off"/>
    </w:pPr>
    <w:rPr>
      <w:rFonts w:ascii="Arial" w:hAnsi="Arial"/>
      <w:b/>
      <w:bCs/>
      <w:color w:val="00000a"/>
      <w:sz w:val="16"/>
      <w:szCs w:val="16"/>
      <w:lang w:eastAsia="ru-RU"/>
    </w:rPr>
  </w:style>
  <w:style w:type="paragraph" w:styleId="868" w:customStyle="1">
    <w:name w:val="ConsPlusNormal"/>
    <w:pPr>
      <w:ind w:firstLine="720"/>
      <w:widowControl w:val="off"/>
    </w:pPr>
    <w:rPr>
      <w:rFonts w:ascii="Arial" w:hAnsi="Arial"/>
      <w:color w:val="00000a"/>
      <w:sz w:val="24"/>
      <w:lang w:eastAsia="ru-RU"/>
    </w:rPr>
  </w:style>
  <w:style w:type="paragraph" w:styleId="869">
    <w:name w:val="Body Text Indent"/>
    <w:basedOn w:val="655"/>
    <w:pPr>
      <w:ind w:firstLine="550"/>
      <w:jc w:val="both"/>
    </w:pPr>
    <w:rPr>
      <w:sz w:val="28"/>
      <w:szCs w:val="20"/>
    </w:rPr>
  </w:style>
  <w:style w:type="paragraph" w:styleId="870" w:customStyle="1">
    <w:name w:val="ConsPlusNonformat"/>
    <w:pPr>
      <w:widowControl w:val="off"/>
    </w:pPr>
    <w:rPr>
      <w:rFonts w:ascii="Courier New" w:hAnsi="Courier New"/>
      <w:color w:val="00000a"/>
      <w:sz w:val="24"/>
      <w:lang w:eastAsia="ru-RU"/>
    </w:rPr>
  </w:style>
  <w:style w:type="paragraph" w:styleId="871" w:customStyle="1">
    <w:name w:val="Знак"/>
    <w:basedOn w:val="655"/>
    <w:pPr>
      <w:spacing w:after="160" w:line="240" w:lineRule="exact"/>
    </w:pPr>
    <w:rPr>
      <w:rFonts w:ascii="Verdana" w:hAnsi="Verdana"/>
      <w:lang w:val="en-US" w:eastAsia="en-US"/>
    </w:rPr>
  </w:style>
  <w:style w:type="paragraph" w:styleId="872" w:customStyle="1">
    <w:name w:val="tekstob"/>
    <w:basedOn w:val="655"/>
    <w:pPr>
      <w:spacing w:before="280" w:after="280"/>
    </w:pPr>
  </w:style>
  <w:style w:type="paragraph" w:styleId="873">
    <w:name w:val="Normal (Web)"/>
    <w:basedOn w:val="655"/>
    <w:pPr>
      <w:spacing w:before="280" w:after="280"/>
    </w:pPr>
  </w:style>
  <w:style w:type="paragraph" w:styleId="874" w:customStyle="1">
    <w:name w:val="Default"/>
    <w:rPr>
      <w:color w:val="000000"/>
      <w:sz w:val="24"/>
      <w:szCs w:val="24"/>
      <w:lang w:eastAsia="ru-RU"/>
    </w:rPr>
  </w:style>
  <w:style w:type="paragraph" w:styleId="875" w:customStyle="1">
    <w:name w:val="Нормальный (таблица)"/>
    <w:basedOn w:val="655"/>
    <w:pPr>
      <w:jc w:val="both"/>
      <w:widowControl w:val="off"/>
    </w:pPr>
    <w:rPr>
      <w:rFonts w:ascii="Arial" w:hAnsi="Arial"/>
      <w:sz w:val="26"/>
      <w:szCs w:val="26"/>
    </w:rPr>
  </w:style>
  <w:style w:type="paragraph" w:styleId="876" w:customStyle="1">
    <w:name w:val="Прижатый влево"/>
    <w:basedOn w:val="655"/>
    <w:pPr>
      <w:widowControl w:val="off"/>
    </w:pPr>
    <w:rPr>
      <w:rFonts w:ascii="Arial" w:hAnsi="Arial"/>
      <w:sz w:val="26"/>
      <w:szCs w:val="26"/>
    </w:rPr>
  </w:style>
  <w:style w:type="paragraph" w:styleId="877" w:customStyle="1">
    <w:name w:val="Абзац списка1"/>
    <w:basedOn w:val="655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78">
    <w:name w:val="List Paragraph"/>
    <w:basedOn w:val="655"/>
    <w:pPr>
      <w:contextualSpacing/>
      <w:ind w:left="720"/>
    </w:pPr>
    <w:rPr>
      <w:lang w:eastAsia="ar-SA"/>
    </w:rPr>
  </w:style>
  <w:style w:type="paragraph" w:styleId="879">
    <w:name w:val="No Spacing"/>
    <w:rPr>
      <w:rFonts w:ascii="Calibri" w:hAnsi="Calibri" w:eastAsia="Calibri"/>
      <w:color w:val="00000a"/>
      <w:sz w:val="22"/>
      <w:szCs w:val="22"/>
      <w:lang w:eastAsia="en-US"/>
    </w:rPr>
  </w:style>
  <w:style w:type="paragraph" w:styleId="880" w:customStyle="1">
    <w:name w:val="Название объекта2"/>
    <w:basedOn w:val="655"/>
    <w:pPr>
      <w:jc w:val="center"/>
    </w:pPr>
    <w:rPr>
      <w:sz w:val="28"/>
      <w:szCs w:val="20"/>
      <w:lang w:eastAsia="ar-SA"/>
    </w:rPr>
  </w:style>
  <w:style w:type="paragraph" w:styleId="881" w:customStyle="1">
    <w:name w:val="Абзац списка2"/>
    <w:basedOn w:val="655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882" w:customStyle="1">
    <w:name w:val="parametervalue"/>
    <w:basedOn w:val="655"/>
    <w:pPr>
      <w:spacing w:before="280" w:after="280"/>
    </w:pPr>
    <w:rPr>
      <w:lang w:eastAsia="zh-CN"/>
    </w:rPr>
  </w:style>
  <w:style w:type="paragraph" w:styleId="883" w:customStyle="1">
    <w:name w:val="Блочная цитата"/>
    <w:basedOn w:val="655"/>
  </w:style>
  <w:style w:type="paragraph" w:styleId="884" w:customStyle="1">
    <w:name w:val="Название"/>
    <w:basedOn w:val="677"/>
    <w:next w:val="863"/>
  </w:style>
  <w:style w:type="paragraph" w:styleId="885" w:customStyle="1">
    <w:name w:val="Содержимое таблицы"/>
    <w:basedOn w:val="655"/>
    <w:pPr>
      <w:suppressLineNumbers/>
    </w:pPr>
  </w:style>
  <w:style w:type="paragraph" w:styleId="886" w:customStyle="1">
    <w:name w:val="Заголовок таблицы"/>
    <w:basedOn w:val="885"/>
    <w:pPr>
      <w:jc w:val="center"/>
    </w:pPr>
    <w:rPr>
      <w:b/>
      <w:bCs/>
    </w:rPr>
  </w:style>
  <w:style w:type="paragraph" w:styleId="887" w:customStyle="1">
    <w:name w:val="Содержимое списка"/>
    <w:basedOn w:val="655"/>
    <w:pPr>
      <w:ind w:left="567"/>
    </w:pPr>
  </w:style>
  <w:style w:type="paragraph" w:styleId="888" w:customStyle="1">
    <w:name w:val="Заголовок списка"/>
    <w:basedOn w:val="655"/>
    <w:next w:val="887"/>
  </w:style>
  <w:style w:type="character" w:styleId="889" w:customStyle="1">
    <w:name w:val="Интернет-ссылка"/>
    <w:rPr>
      <w:color w:val="0000ff"/>
      <w:u w:val="single"/>
    </w:rPr>
  </w:style>
  <w:style w:type="paragraph" w:styleId="890" w:customStyle="1">
    <w:name w:val="No Spacing"/>
    <w:rPr>
      <w:rFonts w:ascii="Calibri" w:hAnsi="Calibri" w:eastAsia="Calibri"/>
      <w:color w:val="00000a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zakupki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 Смирнов</dc:creator>
  <cp:revision>6</cp:revision>
  <dcterms:created xsi:type="dcterms:W3CDTF">2024-03-18T16:53:00Z</dcterms:created>
  <dcterms:modified xsi:type="dcterms:W3CDTF">2024-06-14T11:16:58Z</dcterms:modified>
</cp:coreProperties>
</file>