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b/>
          <w:b/>
          <w:bCs/>
          <w:sz w:val="22"/>
          <w:szCs w:val="22"/>
        </w:rPr>
      </w:pPr>
      <w:bookmarkStart w:id="2" w:name="_Hlk199947847"/>
      <w:r>
        <w:rPr>
          <w:rFonts w:cs="Times New Roman" w:ascii="Times New Roman" w:hAnsi="Times New Roman"/>
          <w:b/>
          <w:bCs/>
          <w:sz w:val="22"/>
          <w:szCs w:val="22"/>
        </w:rPr>
        <w:t>ФОРМА МОНИТОРИНГА РЕАЛИЗАЦИИ МУНИЦИПАЛЬНОЙ ПРОГРАММЫ (КВАРТАЛЬНАЯ)</w:t>
      </w:r>
      <w:bookmarkEnd w:id="2"/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kern w:val="0"/>
          <w:sz w:val="22"/>
          <w:szCs w:val="22"/>
        </w:rPr>
        <w:t xml:space="preserve">ЗА  </w:t>
      </w:r>
      <w:r>
        <w:rPr>
          <w:rFonts w:cs="Times New Roman" w:ascii="Times New Roman" w:hAnsi="Times New Roman"/>
          <w:kern w:val="0"/>
          <w:sz w:val="22"/>
          <w:szCs w:val="22"/>
          <w:u w:val="single"/>
        </w:rPr>
        <w:t xml:space="preserve">         1 квартал            </w:t>
      </w:r>
      <w:r>
        <w:rPr>
          <w:rFonts w:cs="Times New Roman" w:ascii="Times New Roman" w:hAnsi="Times New Roman"/>
          <w:kern w:val="0"/>
          <w:sz w:val="22"/>
          <w:szCs w:val="22"/>
          <w:u w:val="none"/>
        </w:rPr>
        <w:t xml:space="preserve">     </w:t>
      </w:r>
    </w:p>
    <w:p>
      <w:pPr>
        <w:pStyle w:val="Normal"/>
        <w:spacing w:lineRule="auto" w:line="240" w:before="0" w:after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kern w:val="0"/>
          <w:sz w:val="22"/>
          <w:szCs w:val="22"/>
        </w:rPr>
        <w:t xml:space="preserve">         </w:t>
      </w:r>
      <w:r>
        <w:rPr>
          <w:rFonts w:cs="Times New Roman" w:ascii="Times New Roman" w:hAnsi="Times New Roman"/>
          <w:kern w:val="0"/>
          <w:sz w:val="22"/>
          <w:szCs w:val="22"/>
        </w:rPr>
        <w:t>(отчетный период)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cs="Times New Roman" w:ascii="Times New Roman" w:hAnsi="Times New Roman"/>
          <w:kern w:val="0"/>
          <w:sz w:val="22"/>
          <w:szCs w:val="22"/>
        </w:rPr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Наименование муниципальной программы: 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single"/>
        </w:rPr>
        <w:t xml:space="preserve"> «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u w:val="single"/>
          <w:shd w:fill="auto" w:val="clear"/>
        </w:rPr>
        <w:t>Семья и дети в городском округе городе Калуге Калужской области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u w:val="single"/>
          <w:lang w:eastAsia="en-US"/>
        </w:rPr>
        <w:t>»</w:t>
      </w:r>
    </w:p>
    <w:p>
      <w:pPr>
        <w:pStyle w:val="ConsPlusNonformat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Ответственный исполнитель муниципальной программы: </w:t>
      </w:r>
      <w:r>
        <w:rPr>
          <w:rFonts w:cs="Times New Roman" w:ascii="Times New Roman" w:hAnsi="Times New Roman"/>
          <w:sz w:val="22"/>
          <w:szCs w:val="22"/>
          <w:u w:val="single"/>
        </w:rPr>
        <w:t>отдел по охране прав несовершеннолетних, недееспособных и патронажу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67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649"/>
        <w:gridCol w:w="1583"/>
        <w:gridCol w:w="1272"/>
        <w:gridCol w:w="8"/>
        <w:gridCol w:w="1272"/>
        <w:gridCol w:w="1474"/>
        <w:gridCol w:w="4413"/>
      </w:tblGrid>
      <w:tr>
        <w:trPr/>
        <w:tc>
          <w:tcPr>
            <w:tcW w:w="4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28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Объем финансового обеспечения, тыс. рублей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Исполнение, тыс. рублей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Процент исполнения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w:anchor="Par970">
              <w:r>
                <w:rPr>
                  <w:rFonts w:cs="Times New Roman" w:ascii="Times New Roman" w:hAnsi="Times New Roman"/>
                  <w:kern w:val="0"/>
                  <w:sz w:val="22"/>
                  <w:szCs w:val="22"/>
                </w:rPr>
                <w:t>(4)</w:t>
              </w:r>
            </w:hyperlink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 xml:space="preserve"> / </w:t>
            </w:r>
            <w:hyperlink w:anchor="Par967">
              <w:r>
                <w:rPr>
                  <w:rFonts w:cs="Times New Roman" w:ascii="Times New Roman" w:hAnsi="Times New Roman"/>
                  <w:kern w:val="0"/>
                  <w:sz w:val="22"/>
                  <w:szCs w:val="22"/>
                </w:rPr>
                <w:t>(3)</w:t>
              </w:r>
            </w:hyperlink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 xml:space="preserve"> * 100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 xml:space="preserve">Комментарий </w:t>
            </w:r>
            <w:hyperlink w:anchor="Par1142">
              <w:r>
                <w:rPr>
                  <w:rFonts w:cs="Times New Roman" w:ascii="Times New Roman" w:hAnsi="Times New Roman"/>
                  <w:kern w:val="0"/>
                  <w:sz w:val="22"/>
                  <w:szCs w:val="22"/>
                </w:rPr>
                <w:t>&lt;1&gt;</w:t>
              </w:r>
            </w:hyperlink>
          </w:p>
        </w:tc>
      </w:tr>
      <w:tr>
        <w:trPr/>
        <w:tc>
          <w:tcPr>
            <w:tcW w:w="4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Предусмотрено программой/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направлением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Кассовое исполнение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bookmarkStart w:id="3" w:name="Par966"/>
            <w:bookmarkEnd w:id="3"/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bookmarkStart w:id="4" w:name="Par967"/>
            <w:bookmarkEnd w:id="4"/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bookmarkStart w:id="5" w:name="Par970"/>
            <w:bookmarkEnd w:id="5"/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6</w:t>
            </w:r>
          </w:p>
        </w:tc>
      </w:tr>
      <w:tr>
        <w:trPr>
          <w:trHeight w:val="548" w:hRule="atLeast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 xml:space="preserve">Муниципальная программа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u w:val="none"/>
              </w:rPr>
              <w:t>«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u w:val="none"/>
                <w:shd w:fill="auto" w:val="clear"/>
              </w:rPr>
              <w:t>Семья и дети в городском округе городе Калуге Калужской области</w:t>
            </w: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u w:val="none"/>
                <w:lang w:eastAsia="en-US"/>
              </w:rPr>
              <w:t>»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u w:val="none"/>
              </w:rPr>
              <w:t>,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285848,27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227304,53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55326,60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24,34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282395,19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223896,44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54571,18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24,37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709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3453,08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3408,09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755,42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22,17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/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Иные источники</w:t>
            </w:r>
            <w:hyperlink w:anchor="Par1142">
              <w:r>
                <w:rPr>
                  <w:rFonts w:cs="Times New Roman" w:ascii="Times New Roman" w:hAnsi="Times New Roman"/>
                  <w:kern w:val="0"/>
                  <w:sz w:val="22"/>
                  <w:szCs w:val="22"/>
                </w:rPr>
                <w:t>&lt;2&gt;</w:t>
              </w:r>
            </w:hyperlink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Направление «Социальная политика» Управление образования города Калуги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198,36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198,36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49,21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24,81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198,36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198,36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49,21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24,81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14:ligatures w14:val="standardContextua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</w:r>
          </w:p>
        </w:tc>
      </w:tr>
      <w:tr>
        <w:trPr/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Направление «Социальная политика» О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  <w:u w:val="none"/>
              </w:rPr>
              <w:t>тдел по охране прав несовершеннолетних, недееспособных и патронажу города Калуги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285649,91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227106,17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55277,39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24,34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282196,83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223698,08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54521,97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24,37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14:ligatures w14:val="standardContextua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3453,08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3408,09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755,42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22,17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Комплекс процессных мероприятий «Социальная поддержка детей-сирот и детей, оставшихся без попечения родителей, лиц из их числа, иных категорий лиц и усыновителей, замещающих семей (опекунов)»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251920,39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193421,64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45565,89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23,56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251700,39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193201,64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45565,89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23,58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  <w14:ligatures w14:val="standardContextual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220,0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220,0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Предоставление  ежегодной единовременной выплаты на оплату лекарств детям-сиротам и детям, оставшимся без попечения родителей, воспитывающимся в приемных семьях, семьях опекунов (попечителей)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 xml:space="preserve"> запланировано на  декабрь 2026 года.</w:t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Комплекс процессных мероприятий «Создание патронатных семей для граждан пожилого возраста и инвалидов»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177,20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177,20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  <w:t>В отделе по охране прав несовершеннолетних, недееспособных и патронажу города Калуги не заключены договоры об образовании патронатных семей.</w:t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177,20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177,20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Комплекс процессных мероприятий «Обеспечение деятельности органов администрации городского округа города Калуги»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33422,32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33377,32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9711,50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29,10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30319,24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30319,24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8956,08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29,54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3103,08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3058,08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755,42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24,70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2"/>
                <w:szCs w:val="22"/>
              </w:rPr>
              <w:t>Комплекс процессных мероприятий «Организация и проведение мероприятий в  сфере установленных функций»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130,00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130,00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/>
              </w:rPr>
              <w:t xml:space="preserve">Мероприятие «День опекуна» запланировано на  </w:t>
            </w: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en-US"/>
              </w:rPr>
              <w:t>IV</w:t>
            </w: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  <w:lang w:val="ru-RU"/>
              </w:rPr>
              <w:t xml:space="preserve"> квартал 2026 года</w:t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средства областного бюджета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4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ind w:firstLine="283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130,00</w:t>
            </w:r>
          </w:p>
        </w:tc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14:ligatures w14:val="standardContextual"/>
              </w:rPr>
              <w:t>130,00</w:t>
            </w:r>
          </w:p>
        </w:tc>
        <w:tc>
          <w:tcPr>
            <w:tcW w:w="12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</w:rPr>
              <w:t>-</w:t>
            </w:r>
          </w:p>
        </w:tc>
        <w:tc>
          <w:tcPr>
            <w:tcW w:w="4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2"/>
                <w:szCs w:val="22"/>
                <w:shd w:fill="auto" w:val="clear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&lt;1&gt; Указываются причины отклонения (при наличии отклонений).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  <w:t>&lt;2&gt; Указываются  собственные средства организаций (при наличии); средства фондов (при наличии); средства физических лиц (при наличии); привлеченные средства, за исключением бюджетных ассигнований (при наличии).</w:t>
      </w:r>
    </w:p>
    <w:p>
      <w:pPr>
        <w:pStyle w:val="Normal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cs="Times New Roman" w:ascii="Times New Roman" w:hAnsi="Times New Roman"/>
          <w:kern w:val="0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kern w:val="0"/>
          <w:sz w:val="24"/>
          <w:szCs w:val="24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</w:rPr>
        <w:t xml:space="preserve">Отчет о ходе реализации направления </w:t>
      </w:r>
      <w:r>
        <w:rPr>
          <w:rFonts w:cs="Times New Roman" w:ascii="Times New Roman" w:hAnsi="Times New Roman"/>
          <w:b/>
          <w:bCs/>
          <w:kern w:val="0"/>
          <w:sz w:val="24"/>
          <w:szCs w:val="24"/>
          <w:u w:val="single"/>
        </w:rPr>
        <w:t>«Социальная политика»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4"/>
          <w:szCs w:val="24"/>
        </w:rPr>
      </w:pPr>
      <w:bookmarkStart w:id="6" w:name="_Hlk207290952"/>
      <w:bookmarkStart w:id="7" w:name="_Hlk199945117"/>
      <w:bookmarkEnd w:id="7"/>
      <w:r>
        <w:rPr>
          <w:rFonts w:cs="Times New Roman" w:ascii="Times New Roman" w:hAnsi="Times New Roman"/>
          <w:kern w:val="0"/>
          <w:sz w:val="24"/>
          <w:szCs w:val="24"/>
        </w:rPr>
        <w:t>Сведения об исполнении помесячного плана достижения показателей направления</w:t>
      </w:r>
      <w:r>
        <w:rPr>
          <w:sz w:val="24"/>
          <w:szCs w:val="24"/>
        </w:rPr>
        <w:t xml:space="preserve"> </w:t>
      </w:r>
      <w:r>
        <w:rPr>
          <w:rFonts w:cs="Times New Roman" w:ascii="Times New Roman" w:hAnsi="Times New Roman"/>
          <w:kern w:val="0"/>
          <w:sz w:val="24"/>
          <w:szCs w:val="24"/>
        </w:rPr>
        <w:t xml:space="preserve">в текущем году </w:t>
      </w:r>
      <w:bookmarkEnd w:id="6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72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58"/>
        <w:gridCol w:w="1987"/>
        <w:gridCol w:w="1131"/>
        <w:gridCol w:w="835"/>
        <w:gridCol w:w="710"/>
        <w:gridCol w:w="856"/>
        <w:gridCol w:w="991"/>
        <w:gridCol w:w="853"/>
        <w:gridCol w:w="991"/>
        <w:gridCol w:w="996"/>
        <w:gridCol w:w="991"/>
        <w:gridCol w:w="851"/>
        <w:gridCol w:w="993"/>
        <w:gridCol w:w="850"/>
        <w:gridCol w:w="1132"/>
        <w:gridCol w:w="2"/>
        <w:gridCol w:w="1"/>
      </w:tblGrid>
      <w:tr>
        <w:trPr>
          <w:trHeight w:val="57" w:hRule="atLeast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Показатели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 xml:space="preserve">Единица измерения (по </w:t>
            </w:r>
            <w:hyperlink r:id="rId2">
              <w:r>
                <w:rPr>
                  <w:rFonts w:cs="Times New Roman" w:ascii="Times New Roman" w:hAnsi="Times New Roman"/>
                  <w:kern w:val="0"/>
                  <w:sz w:val="22"/>
                  <w:szCs w:val="22"/>
                </w:rPr>
                <w:t>ОКЕИ</w:t>
              </w:r>
            </w:hyperlink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)</w:t>
            </w:r>
          </w:p>
        </w:tc>
        <w:tc>
          <w:tcPr>
            <w:tcW w:w="99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Значения по месяцам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На конец года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янв.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фев.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март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апр.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май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июнь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июль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сент.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окт.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нояб.</w:t>
            </w:r>
          </w:p>
        </w:tc>
        <w:tc>
          <w:tcPr>
            <w:tcW w:w="11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416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Наименование показателя: «Количество получателей меры социальной поддержки по обеспечению бесплатного проезда детей-сирот и детей, оставшихся без попечения родителей, и лиц из их числа»</w:t>
            </w:r>
          </w:p>
        </w:tc>
      </w:tr>
      <w:tr>
        <w:trPr>
          <w:trHeight w:val="57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План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94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94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94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Факт/прогноз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416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Наименование показателя: «Количество получателей ежемесячного денежного вознаграждения»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План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460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Факт/прогноз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2"/>
                <w:szCs w:val="22"/>
                <w:lang w:val="ru-RU"/>
              </w:rPr>
              <w:t>435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438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443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41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Наименование показателя: «Количество получателей ежемесячных денежных выплат»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План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1020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1020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1020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Факт/прогноз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869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879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879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41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Наименование показателя: «Количество получателей единовременных денежных выплат»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План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Факт/прогноз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41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Наименование показателя: «Количество получателей ежегодной единовременной денежной выплаты на оплату лекарств»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План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Факт/прогноз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4169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</w:rPr>
              <w:t>Наименование показателя: «Количество проведенных мероприятий в области опеки и попечительства»</w:t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План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7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Факт/прогноз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792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</w:rPr>
            </w:r>
          </w:p>
        </w:tc>
        <w:tc>
          <w:tcPr>
            <w:tcW w:w="1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46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3318"/>
        <w:gridCol w:w="1326"/>
        <w:gridCol w:w="3"/>
        <w:gridCol w:w="1310"/>
        <w:gridCol w:w="1984"/>
        <w:gridCol w:w="1"/>
        <w:gridCol w:w="2409"/>
        <w:gridCol w:w="8"/>
        <w:gridCol w:w="3542"/>
      </w:tblGrid>
      <w:tr>
        <w:trPr>
          <w:trHeight w:val="469" w:hRule="atLeast"/>
        </w:trPr>
        <w:tc>
          <w:tcPr>
            <w:tcW w:w="14603" w:type="dxa"/>
            <w:gridSpan w:val="11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Сведения о выполнении (достижении) мероприятий и контрольных точек</w:t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№</w:t>
            </w:r>
          </w:p>
        </w:tc>
        <w:tc>
          <w:tcPr>
            <w:tcW w:w="33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Комментарий (результаты/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проблемы, возникшие в ходе реализации мероприятия)</w:t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32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3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2418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354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1390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Задача «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Обеспечение бесплатным проездом детей-сирот, детей, оставшихся без попечения родителей, и лиц из числа детей-сирот и детей, оставшихся без попечения родителей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» комплекса процессных мероприятий «Социальная поддержка детей-сирот и детей, оставшихся без попечения родителей, лиц из их числа, иных категорий лиц и усыновителей, замещающих семей, опекунов (попечителей)»</w:t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1.1</w:t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Мероприятие «</w:t>
            </w: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Организация предоставления бесплатного проезда отдельным категориям граждан, в соответствии с законодательством Калужской области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1.1: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Утверждено распределение бюджетных ассигнований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28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>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 xml:space="preserve">ешение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en-US" w:eastAsia="ru-RU"/>
              </w:rPr>
              <w:t xml:space="preserve">Думы городского округа города Калуги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>.2025 № 233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en-US" w:eastAsia="ru-RU"/>
              </w:rPr>
              <w:t>«О бюджете городского округа города Калуги Калужской области на 2026 год и плановый период 2027 и 2028 годов»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1.2: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Заключены соглашения о предоставлении бюджетных ассигнований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26.01.2025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28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23.01.2026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Соглашение о предоставлении субсидии на иные цели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20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1.3: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Заключение договоров купли-продажи с УКТ г. Калуги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25.12.2024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28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22.12.2025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Договор поставки транспортных карт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Действие договоров распространяется на правоотношения, возникшие с 01.01.202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1.4: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Исполнение договоров купли-продажи путем приобретения транспортных карт для учащихся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31.12.202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31.12.202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Начальник отдела финансово-экономической деятельности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Счет на оплату, товарная накладная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/>
                <w14:ligatures w14:val="none"/>
              </w:rPr>
              <w:t>2</w:t>
            </w:r>
          </w:p>
        </w:tc>
        <w:tc>
          <w:tcPr>
            <w:tcW w:w="13901" w:type="dxa"/>
            <w:gridSpan w:val="10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Задача «Обеспечить социальную поддержку и оптимальные условия для жизни детям-сиротам, детям, оставшимся без попечения родителей, выплату вознаграждений опекунам (попечителям), приемным родителям» структурного элемента «Социальная поддержка детей-сирот и детей, оставшихся без попечения родителей, лиц из их числа, иных категорий лиц и усыновителей, замещающих семей, опекунов (попечителей)»</w:t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/>
                <w14:ligatures w14:val="none"/>
              </w:rPr>
              <w:t>2.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/>
                <w14:ligatures w14:val="none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Организация предоставления денежных выплат, пособий и компенсаций отдельным категориям граждан области в соответствии с региональным       законодательством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2.1: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Утверждено распределение бюджетных ассигнований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>Р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 xml:space="preserve">ешение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en-US" w:eastAsia="ru-RU"/>
              </w:rPr>
              <w:t xml:space="preserve">Думы городского округа города Калуги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 xml:space="preserve">от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>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>.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>12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en-US" w:eastAsia="ru-RU"/>
              </w:rPr>
              <w:t>.2025 № 233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strike w:val="false"/>
                <w:dstrike w:val="false"/>
                <w:color w:val="000000"/>
                <w:kern w:val="0"/>
                <w:sz w:val="22"/>
                <w:szCs w:val="22"/>
                <w:u w:val="none"/>
                <w:shd w:fill="auto" w:val="clear"/>
                <w:lang w:val="en-US" w:eastAsia="ru-RU"/>
              </w:rPr>
              <w:t>«О бюджете городского округа города Калуги Калужской области на 2026 год и плановый период 2027 и 2028 годов»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2.2: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Заключены соглашения о предоставлении бюджетных ассигнований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Соглашение с Министерством труда и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социальной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защиты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Калужской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области 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предоставлении бюджетных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ассигнований.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2.3: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Осуществление предоставления пособий и компенсаций       отдельным категориям граждан              области в соответствии с      региональным                             законодательством.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Период с 01 по 20 число  месяца, следующе-го за   месяцем, в котором назначена выплата.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Период с 01 по 20 число  месяца, следующе-го за   месяцем, в котором назначена выплата.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Исполненные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платежные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поручения.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2.4: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Предоставление ежегодной единовременной выплаты на оплату лекарств детям-сиротам и детям, оставшимся без попечения родителей, воспитывающимся в приемных семьях, семьях опекунов (попечителей)</w:t>
            </w:r>
          </w:p>
          <w:p>
            <w:pPr>
              <w:pStyle w:val="ConsPlus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Период с 01.12.2026 по 25.12.2026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160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Перечисление ежегодной выплаты осуществляется в срок с 1 декабря по 25 декабря 2026 года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3901" w:type="dxa"/>
            <w:gridSpan w:val="10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«Обеспечить поддержку и оптимальные условия для осуществления деятельности по образованию патронатных семей для граждан пожилого возраста и инвалидов» структурного элемента «Создание патронатных семей для граждан пожилого возраста и инвалидов»</w:t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/>
                <w14:ligatures w14:val="none"/>
              </w:rPr>
              <w:t>3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/>
                <w14:ligatures w14:val="none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Осуществление деятельности по образованию патронатных семей для граждан пожилого возраста и инвалидов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before="0" w:after="160"/>
              <w:rPr>
                <w:kern w:val="0"/>
                <w:sz w:val="22"/>
                <w:szCs w:val="22"/>
                <w:lang w:eastAsia="ru-RU"/>
              </w:rPr>
            </w:pPr>
            <w:r>
              <w:rPr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3.1: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Утверждено распределение бюджетных ассигнований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3.2: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Заключены соглашения о предоставлении бюджетных ассигнований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01.01.2026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Соглашение с Министерством труда и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социальной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защиты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Калужской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области о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  <w:t>предоставлении      бюджетных</w:t>
            </w:r>
          </w:p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ассигнований.</w:t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3.3: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AutoHyphens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ru-RU"/>
              </w:rPr>
              <w:t>Осуществление выплат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eastAsia="ru-RU"/>
                <w14:ligatures w14:val="none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В отделе по охране прав несовершеннолетних, недееспособных и патронажу города Калуги не заключены договоры об образовании патронатных семей</w:t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3901" w:type="dxa"/>
            <w:gridSpan w:val="10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 «Реализация социально значимых мероприятий в области опеки и попечительства» структурного элемента «Организация и проведение мероприятий в сфере установленных функций»</w:t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/>
                <w14:ligatures w14:val="none"/>
              </w:rPr>
              <w:t>4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en-US" w:eastAsia="ru-RU"/>
                <w14:ligatures w14:val="none"/>
              </w:rPr>
              <w:t>.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ru-RU"/>
                <w14:ligatures w14:val="none"/>
              </w:rPr>
              <w:t>1</w:t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</w:rPr>
              <w:t>Организация и проведение мероприятий в сфере установленных функций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»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4.1: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о проведении дня опекуна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Период с 01.10.2026 по 31.10.2026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/>
              </w:rPr>
              <w:t xml:space="preserve">Мероприятие запланировано на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/>
              </w:rPr>
              <w:t xml:space="preserve"> квартал 2026 года</w:t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точка 4.2: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54" w:hRule="atLeast"/>
        </w:trPr>
        <w:tc>
          <w:tcPr>
            <w:tcW w:w="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</w:r>
          </w:p>
        </w:tc>
        <w:tc>
          <w:tcPr>
            <w:tcW w:w="331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контрактов для обеспечения мероприятия</w:t>
            </w:r>
          </w:p>
        </w:tc>
        <w:tc>
          <w:tcPr>
            <w:tcW w:w="132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Период с 01.10.2026 по 31.10.2026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ru-RU"/>
                <w14:ligatures w14:val="none"/>
              </w:rPr>
              <w:t>Заведующий отделом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2"/>
                <w:szCs w:val="22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eastAsia="ru-RU"/>
              </w:rPr>
            </w:r>
          </w:p>
        </w:tc>
        <w:tc>
          <w:tcPr>
            <w:tcW w:w="355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/>
              </w:rPr>
              <w:t xml:space="preserve">Мероприятие запланировано на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IV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/>
              </w:rPr>
              <w:t xml:space="preserve"> квартал 2026 года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3"/>
      <w:headerReference w:type="first" r:id="rId4"/>
      <w:type w:val="nextPage"/>
      <w:pgSz w:orient="landscape" w:w="16838" w:h="11906"/>
      <w:pgMar w:left="1134" w:right="1134" w:gutter="0" w:header="708" w:top="1701" w:footer="0" w:bottom="85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25900231"/>
    </w:sdtPr>
    <w:sdtContent>
      <w:p>
        <w:pPr>
          <w:pStyle w:val="Style1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cs="Times New Roman" w:ascii="Times New Roman" w:hAnsi="Times New Roman"/>
            <w:sz w:val="24"/>
            <w:szCs w:val="24"/>
          </w:rPr>
          <w:fldChar w:fldCharType="begin"/>
        </w:r>
        <w:r>
          <w:rPr>
            <w:sz w:val="24"/>
            <w:szCs w:val="24"/>
            <w:rFonts w:cs="Times New Roman" w:ascii="Times New Roman" w:hAnsi="Times New Roman"/>
          </w:rPr>
          <w:instrText xml:space="preserve"> PAGE </w:instrText>
        </w:r>
        <w:r>
          <w:rPr>
            <w:sz w:val="24"/>
            <w:szCs w:val="24"/>
            <w:rFonts w:cs="Times New Roman" w:ascii="Times New Roman" w:hAnsi="Times New Roman"/>
          </w:rPr>
          <w:fldChar w:fldCharType="separate"/>
        </w:r>
        <w:r>
          <w:rPr>
            <w:sz w:val="24"/>
            <w:szCs w:val="24"/>
            <w:rFonts w:cs="Times New Roman" w:ascii="Times New Roman" w:hAnsi="Times New Roman"/>
          </w:rPr>
          <w:t>2</w:t>
        </w:r>
        <w:r>
          <w:rPr>
            <w:sz w:val="24"/>
            <w:szCs w:val="24"/>
            <w:rFonts w:cs="Times New Roman" w:ascii="Times New Roman" w:hAnsi="Times New Roman"/>
          </w:rPr>
          <w:fldChar w:fldCharType="end"/>
        </w:r>
      </w:p>
    </w:sdtContent>
  </w:sdt>
  <w:p>
    <w:pPr>
      <w:pStyle w:val="Style19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708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4708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4708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470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470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470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470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470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470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470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4708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4708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b4708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4708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b470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708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47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87666c"/>
    <w:rPr/>
  </w:style>
  <w:style w:type="character" w:styleId="Style9" w:customStyle="1">
    <w:name w:val="Нижний колонтитул Знак"/>
    <w:basedOn w:val="DefaultParagraphFont"/>
    <w:uiPriority w:val="99"/>
    <w:qFormat/>
    <w:rsid w:val="0087666c"/>
    <w:rPr/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 Unicode M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Style16">
    <w:name w:val="Title"/>
    <w:basedOn w:val="Normal"/>
    <w:next w:val="Normal"/>
    <w:link w:val="Style5"/>
    <w:uiPriority w:val="10"/>
    <w:qFormat/>
    <w:rsid w:val="00b4708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Style6"/>
    <w:uiPriority w:val="11"/>
    <w:qFormat/>
    <w:rsid w:val="00b4708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b4708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8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4708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onsPlusNonformat" w:customStyle="1">
    <w:name w:val="ConsPlusNonformat"/>
    <w:qFormat/>
    <w:rsid w:val="00b47087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2"/>
      <w:lang w:val="ru-RU" w:eastAsia="zh-CN" w:bidi="ar-SA"/>
      <w14:ligatures w14:val="none"/>
    </w:rPr>
  </w:style>
  <w:style w:type="paragraph" w:styleId="Style18">
    <w:name w:val="Колонтитул"/>
    <w:basedOn w:val="Normal"/>
    <w:qFormat/>
    <w:pPr/>
    <w:rPr/>
  </w:style>
  <w:style w:type="paragraph" w:styleId="Style19">
    <w:name w:val="Header"/>
    <w:basedOn w:val="Normal"/>
    <w:link w:val="Style8"/>
    <w:uiPriority w:val="99"/>
    <w:unhideWhenUsed/>
    <w:rsid w:val="008766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Style9"/>
    <w:uiPriority w:val="99"/>
    <w:unhideWhenUsed/>
    <w:rsid w:val="0087666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bidi w:val="0"/>
      <w:snapToGrid w:val="false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  <w14:ligatures w14:val="standardContextu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ru-RU" w:eastAsia="zh-CN" w:bidi="hi-IN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3c11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Application>LibreOffice/7.3.4.2$Windows_X86_64 LibreOffice_project/728fec16bd5f605073805c3c9e7c4212a0120dc5</Application>
  <AppVersion>15.0000</AppVersion>
  <Pages>9</Pages>
  <Words>1285</Words>
  <Characters>8838</Characters>
  <CharactersWithSpaces>9844</CharactersWithSpaces>
  <Paragraphs>394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2025-10-24T14:08:00Z</dcterms:created>
  <dc:creator>Плакида Ирина</dc:creator>
  <dc:description/>
  <dc:language>ru-RU</dc:language>
  <cp:lastModifiedBy/>
  <cp:lastPrinted>2025-10-24T10:15:35Z</cp:lastPrinted>
  <dcterms:modified xsi:type="dcterms:W3CDTF">2026-04-08T08:46:23Z</dcterms:modified>
  <cp:revision>124</cp:revision>
  <dc:subject/>
  <dc:title>Постановление Городской Управы г. Калуги от 03.08.2017 N 276-п"Об установлении размера и утверждении Положения о порядке и условиях выплаты ежегодной единовременной выплаты на оплату лекарств детям-сиротам и детям, оставшимся без попечения родителей, воспитывающимся в приемных семьях, семьях опекунов (попечителей)"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