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/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ind w:left="4678" w:right="-113" w:hanging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</w:t>
      </w:r>
      <w:r>
        <w:rPr>
          <w:rFonts w:ascii="Times New Roman" w:hAnsi="Times New Roman"/>
          <w:lang w:val="ru-RU"/>
        </w:rPr>
        <w:t>ь</w:t>
      </w:r>
      <w:r>
        <w:rPr>
          <w:rFonts w:ascii="Times New Roman" w:hAnsi="Times New Roman"/>
        </w:rPr>
        <w:t xml:space="preserve"> главы городского округа города Калуги - начальник управления делами главы городского округа города Калуги        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4678" w:right="-113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Н.В.Новиков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_________________________________ 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lang w:val="en-US"/>
        </w:rPr>
        <w:t>______</w:t>
      </w:r>
      <w:r>
        <w:rPr>
          <w:rFonts w:cs="Times New Roman" w:ascii="Times New Roman" w:hAnsi="Times New Roman"/>
          <w:sz w:val="24"/>
          <w:szCs w:val="24"/>
          <w:lang w:val="ru-RU"/>
        </w:rPr>
        <w:t>» _________________________ 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/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lang w:val="ru-RU"/>
        </w:rPr>
      </w:pPr>
      <w:r>
        <w:rPr>
          <w:b/>
          <w:bCs/>
          <w:lang w:val="ru-RU"/>
        </w:rPr>
        <w:t>УПРАВЛЕНИИ ДЕЛАМИ ГЛАВЫ ГОРОДСКОГО ОКРУГА ГОРОДА КАЛУГИ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>управления от 2</w:t>
      </w:r>
      <w:r>
        <w:rPr>
          <w:rFonts w:cs="Times New Roman" w:ascii="Times New Roman" w:hAnsi="Times New Roman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sz w:val="24"/>
          <w:szCs w:val="24"/>
          <w:lang w:val="ru-RU"/>
        </w:rPr>
        <w:t>.01.2026 №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1 о/д </w:t>
      </w:r>
      <w:r>
        <w:rPr>
          <w:rFonts w:cs="Times New Roman" w:ascii="Times New Roman" w:hAnsi="Times New Roman"/>
          <w:sz w:val="24"/>
          <w:szCs w:val="24"/>
          <w:lang w:val="ru-RU"/>
        </w:rPr>
        <w:t>обя</w:t>
      </w:r>
      <w:r>
        <w:rPr>
          <w:rFonts w:cs="Times New Roman" w:ascii="Times New Roman" w:hAnsi="Times New Roman"/>
          <w:sz w:val="24"/>
          <w:szCs w:val="24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делами главы городского округа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возложены на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 отдел финансово-хозяйственного обеспечения комитета по финансово-хозяйственному обеспечению управления делами 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sz w:val="24"/>
          <w:szCs w:val="24"/>
          <w:lang w:val="ru-RU"/>
        </w:rPr>
        <w:t>от 2</w:t>
      </w:r>
      <w:r>
        <w:rPr>
          <w:rFonts w:cs="Times New Roman" w:ascii="Times New Roman" w:hAnsi="Times New Roman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sz w:val="24"/>
          <w:szCs w:val="24"/>
          <w:lang w:val="ru-RU"/>
        </w:rPr>
        <w:t>.01.2026 №</w:t>
      </w:r>
      <w:r>
        <w:rPr>
          <w:rFonts w:cs="Times New Roman" w:ascii="Times New Roman" w:hAnsi="Times New Roman"/>
          <w:sz w:val="24"/>
          <w:szCs w:val="24"/>
          <w:lang w:val="ru-RU"/>
        </w:rPr>
        <w:t>1 о/д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применяется в отношении всех сотрудников.  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3.  </w:t>
      </w:r>
      <w:r>
        <w:rPr>
          <w:rFonts w:ascii="Times New Roman" w:hAnsi="Times New Roman"/>
          <w:sz w:val="24"/>
          <w:szCs w:val="24"/>
          <w:lang w:val="ru-RU"/>
        </w:rPr>
        <w:t>В целях реализации анти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монопольной политики Управления в части формирования у сотрудников необходимых знаний и навыков соблюдения положений антимонопольного законодательства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антимонопольного законодательства проходят тестирование по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программам «Антикоррупционные механизмы на государственной гражданской службе» и подобные им.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целях выявления, оценки и регулирования рисков нарушения Управлением антимонопольного законодательства ежеквартально проводится мониторинг заключенных контрактов и анализ сведений о муниципальных служащих Управления, участвующих в закупках товаров, работ и услуг, на наличие родственных связей с выгодоприобретателем.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Нарушений антимонопольного законодательства не выявлено.  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5. Выводы и рекомендации.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tabs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/>
      </w:pPr>
      <w:r>
        <w:rPr/>
      </w:r>
    </w:p>
    <w:sectPr>
      <w:type w:val="nextPage"/>
      <w:pgSz w:w="12240" w:h="15840"/>
      <w:pgMar w:left="1701" w:right="89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321</TotalTime>
  <Application>LibreOffice/6.1.0.3$Windows_X86_64 LibreOffice_project/efb621ed25068d70781dc026f7e9c5187a4decd1</Application>
  <Pages>2</Pages>
  <Words>268</Words>
  <Characters>2243</Characters>
  <CharactersWithSpaces>2832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2024-02-12T10:23:06Z</cp:lastPrinted>
  <dcterms:modified xsi:type="dcterms:W3CDTF">2026-01-29T09:19:14Z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