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</w:t>
      </w:r>
      <w:r>
        <w:rPr>
          <w:rFonts w:cs="Times New Roman"/>
          <w:b w:val="false"/>
          <w:bCs w:val="false"/>
          <w:sz w:val="24"/>
          <w:szCs w:val="24"/>
        </w:rPr>
        <w:t>наименовании улиц в д.Тинино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участкам улично-дорожной сети, расположенным в Российской Федерации, Калужской области, г.о. «Город Калуга», д.Тинино, наименования:</w:t>
        <w:br/>
        <w:t>ул.1-я Тининская, ул.2-я Тининская, ул.3-я Тининская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LibreOffice/6.2.0.3$Windows_X86_64 LibreOffice_project/98c6a8a1c6c7b144ce3cc729e34964b47ce25d62</Application>
  <Pages>1</Pages>
  <Words>142</Words>
  <Characters>1027</Characters>
  <CharactersWithSpaces>1392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2022-03-30T12:01:13Z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