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17" w:rsidRPr="00B72E17" w:rsidRDefault="00B72E17" w:rsidP="006A1EB5">
      <w:pPr>
        <w:pStyle w:val="a4"/>
        <w:shd w:val="clear" w:color="auto" w:fill="FFFFFF"/>
        <w:spacing w:before="420" w:beforeAutospacing="0" w:after="420" w:afterAutospacing="0"/>
        <w:jc w:val="center"/>
        <w:rPr>
          <w:b/>
          <w:bCs/>
          <w:iCs/>
          <w:color w:val="333333"/>
        </w:rPr>
      </w:pPr>
      <w:r w:rsidRPr="00B72E17">
        <w:rPr>
          <w:b/>
          <w:bCs/>
          <w:iCs/>
          <w:color w:val="333333"/>
        </w:rPr>
        <w:t>ИЗВЕЩЕНИЕ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center"/>
        <w:rPr>
          <w:b/>
          <w:bCs/>
          <w:iCs/>
          <w:color w:val="333333"/>
        </w:rPr>
      </w:pPr>
      <w:r w:rsidRPr="00B72E17">
        <w:rPr>
          <w:b/>
          <w:bCs/>
          <w:iCs/>
          <w:color w:val="333333"/>
        </w:rPr>
        <w:t>об утверждении результатов определения кадастровой стоимости земельных участков на территории Калужской области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На основании приказа министерства экономического развития и промышленности Калужской области от 28.09.2022 № 1565-п на территории Калужской области утверждены результаты определения кадастровой стоимости земельных участков на территории Калужской области по состоянию на 1 января 2022 года.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День начала применения сведений о кадастровой стоимости - 1 января 2023 года.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Данный приказ размещен на официальном портале органов власти Калужской области на странице министерства экономического развития и промышленности области в разделе земельно-имущественные отношения/государственная кадастровая оценка/земельные участки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hyperlink r:id="rId5" w:history="1">
        <w:r w:rsidRPr="00B72E17">
          <w:rPr>
            <w:rStyle w:val="a3"/>
            <w:color w:val="3368C3"/>
          </w:rPr>
          <w:t>https://minek.admoblkaluga.ru/page/zemel-uchastki/</w:t>
        </w:r>
      </w:hyperlink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Рассмотрение заявлений об исправлении ошибок, а также получение разъяснений, связанных с определением кадастровой стоимости, осуществляется государственным бюджетным учреждением Калужской области «Центр кадастровой оценки» (далее – бюджетное учреждение) (248001, г. Калуга, ул. Плеханова, д. 45, тел. 8(4842) 277-005). Необходимая информация по формам и способам обращения размещена на официальном сайте бюджетного учреждения по адресу: ckoklg.ru.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proofErr w:type="gramStart"/>
      <w:r w:rsidRPr="00B72E17">
        <w:rPr>
          <w:color w:val="333333"/>
        </w:rPr>
        <w:t>Днем подачи обращения об исправлении технической и (или) методологической ошибок, допущенных при определении кадастровой стоимости (далее – ошибок), считается день его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«Интернет», включая портал</w:t>
      </w:r>
      <w:proofErr w:type="gramEnd"/>
      <w:r w:rsidRPr="00B72E17">
        <w:rPr>
          <w:color w:val="333333"/>
        </w:rPr>
        <w:t xml:space="preserve"> государственных и муниципальных услуг.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Обращение об исправлении ошибок, должно содержать: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ошибок;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 xml:space="preserve">2) кадастровый номер и (или) адрес объекта недвижимости (объектов недвижимости), в </w:t>
      </w:r>
      <w:proofErr w:type="gramStart"/>
      <w:r w:rsidRPr="00B72E17">
        <w:rPr>
          <w:color w:val="333333"/>
        </w:rPr>
        <w:t>отношении</w:t>
      </w:r>
      <w:proofErr w:type="gramEnd"/>
      <w:r w:rsidRPr="00B72E17">
        <w:rPr>
          <w:color w:val="333333"/>
        </w:rPr>
        <w:t xml:space="preserve"> которого подается обращение об исправлении ошибок;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lastRenderedPageBreak/>
        <w:t>3) суть обращения (указание на содержание допущенных технических и (или) методологических ошибок) об исправлении ошибок, с указанием (по желанию) номеров страниц отчета, на которых содержатся соответствующие ошибки;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4) информацию о необходимости предоставления разъяснений, связанных с определением кадастровой стоимости.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К обращению об исправлении ошибок, прилагаются документы, подтверждающие наличие ошибок, может быть приложена декларация о характеристиках объекта недвижимости.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Бюджетное учреждение рассматривает обращение об исправлении ошибок, в течение тридцати дней со дня его поступления.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В случае необходимости получения информации, не имеющейся в распоряжении бюджетного учреждения, для рассмотрения обращения об исправлении ошибок, срок рассмотрения такого обращения может быть увеличен на тридцать дней, о чем бюджетное учреждение обязано уведомить лицо, направившее указанное обращение.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По итогам рассмотрения обращения об исправлении ошибок, бюджетным учреждением могут быть приняты: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1) решение о пересчете кадастровой стоимости в связи с наличием ошибок;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2) решени</w:t>
      </w:r>
      <w:bookmarkStart w:id="0" w:name="_GoBack"/>
      <w:bookmarkEnd w:id="0"/>
      <w:r w:rsidRPr="00B72E17">
        <w:rPr>
          <w:color w:val="333333"/>
        </w:rPr>
        <w:t>е об отказе в пересчете кадастровой стоимости, если наличие ошибок, не выявлено.</w:t>
      </w:r>
    </w:p>
    <w:p w:rsidR="00B72E17" w:rsidRPr="00B72E17" w:rsidRDefault="00B72E17" w:rsidP="00B72E17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Бюджетное учреждение по итогам рассмотрения обращения об исправлении ошибок направляет заявителю ответ, а также правообладателям объектов недвижимости, в отношении которых принято решение о пересчете кадастровой стоимости, при наличии у бюджетного учреждения информации о правообладателях объектов недвижимости, уведомление о принятом решении с приложением его копии.</w:t>
      </w:r>
    </w:p>
    <w:p w:rsidR="002B1E8D" w:rsidRDefault="00B72E17" w:rsidP="007E517E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color w:val="333333"/>
        </w:rPr>
      </w:pPr>
      <w:r w:rsidRPr="00B72E17">
        <w:rPr>
          <w:color w:val="333333"/>
        </w:rPr>
        <w:t>В случае если способ получения информации о рассмотрении обращения об исправлении ошибок (в том числе почтовым отправлением или по электронной почте) не указан в таком обращении, то ответ на обращение об исправлении ошибок направляется заявителю по адресам, содержащимся в указанном обращении.</w:t>
      </w:r>
    </w:p>
    <w:p w:rsidR="009B370B" w:rsidRPr="009B370B" w:rsidRDefault="009B370B" w:rsidP="007E517E">
      <w:pPr>
        <w:pStyle w:val="a4"/>
        <w:shd w:val="clear" w:color="auto" w:fill="FFFFFF"/>
        <w:spacing w:before="420" w:beforeAutospacing="0" w:after="420" w:afterAutospacing="0"/>
        <w:ind w:firstLine="567"/>
        <w:jc w:val="both"/>
        <w:rPr>
          <w:sz w:val="22"/>
          <w:szCs w:val="22"/>
        </w:rPr>
      </w:pPr>
      <w:r w:rsidRPr="009B370B">
        <w:rPr>
          <w:bCs/>
          <w:i/>
          <w:iCs/>
          <w:color w:val="333333"/>
          <w:sz w:val="22"/>
          <w:szCs w:val="22"/>
          <w:shd w:val="clear" w:color="auto" w:fill="FFFFFF"/>
        </w:rPr>
        <w:t>Извещение размещено на сайте министерства экономического развития и промышленности 25 октября 2022 года.</w:t>
      </w:r>
    </w:p>
    <w:sectPr w:rsidR="009B370B" w:rsidRPr="009B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1"/>
    <w:rsid w:val="002B1E8D"/>
    <w:rsid w:val="006A1EB5"/>
    <w:rsid w:val="007E517E"/>
    <w:rsid w:val="007E7428"/>
    <w:rsid w:val="009B370B"/>
    <w:rsid w:val="00B50561"/>
    <w:rsid w:val="00B72E17"/>
    <w:rsid w:val="00F2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k.admoblkaluga.ru/page/zemel-uchast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8</cp:revision>
  <dcterms:created xsi:type="dcterms:W3CDTF">2022-10-27T14:03:00Z</dcterms:created>
  <dcterms:modified xsi:type="dcterms:W3CDTF">2022-10-27T14:06:00Z</dcterms:modified>
</cp:coreProperties>
</file>