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>
          <w:rFonts w:eastAsia="Calibri"/>
          <w:b/>
          <w:caps/>
          <w:spacing w:val="40"/>
        </w:rPr>
        <w:t>АКТ № 71</w:t>
      </w:r>
    </w:p>
    <w:p>
      <w:pPr>
        <w:pStyle w:val="Normal"/>
        <w:jc w:val="center"/>
        <w:rPr/>
      </w:pPr>
      <w:r>
        <w:rPr>
          <w:b/>
          <w:bCs/>
        </w:rPr>
        <w:t xml:space="preserve">плановой проверки муниципального бюджетного образовательного учреждения дополнительного образования «Детская школа искусств № 9» г.Калуги 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г. Калуга</w:t>
        <w:tab/>
        <w:tab/>
        <w:tab/>
        <w:tab/>
        <w:tab/>
        <w:tab/>
        <w:t xml:space="preserve">      </w:t>
        <w:tab/>
        <w:tab/>
        <w:t xml:space="preserve">        «15» мая 2026 года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ind w:firstLine="720"/>
        <w:jc w:val="both"/>
        <w:rPr>
          <w:b w:val="false"/>
          <w:bCs w:val="false"/>
        </w:rPr>
      </w:pPr>
      <w:r>
        <w:rPr>
          <w:rFonts w:eastAsia="Times New Roman" w:cs="Times New Roman"/>
          <w:sz w:val="24"/>
          <w:szCs w:val="24"/>
        </w:rPr>
        <w:t xml:space="preserve">В соответствии со статьей 100 Федерального закона от 05.04.2013 № 44-ФЗ «О контрактной системе в сфере закупок товаров, работ, услуг для обеспечения </w:t>
      </w:r>
      <w:r>
        <w:rPr>
          <w:rFonts w:eastAsia="Times New Roman" w:cs="Times New Roman"/>
          <w:sz w:val="24"/>
          <w:szCs w:val="24"/>
        </w:rPr>
        <w:t>государственных</w:t>
      </w:r>
      <w:r>
        <w:rPr>
          <w:rFonts w:eastAsia="Times New Roman" w:cs="Times New Roman"/>
          <w:sz w:val="24"/>
          <w:szCs w:val="24"/>
        </w:rPr>
        <w:t xml:space="preserve"> и муниципальных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rFonts w:eastAsia="Times New Roman" w:cs="Times New Roman"/>
          <w:bCs/>
          <w:sz w:val="24"/>
          <w:szCs w:val="24"/>
        </w:rPr>
        <w:t>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rPr>
          <w:rFonts w:eastAsia="Times New Roman" w:cs="Times New Roman"/>
          <w:sz w:val="24"/>
          <w:szCs w:val="24"/>
        </w:rPr>
        <w:t xml:space="preserve">» и постановлением Городской Управы города Калуги от 12.12.2025 № 2414-пи </w:t>
      </w:r>
      <w:r>
        <w:rPr>
          <w:rFonts w:eastAsia="Times New Roman" w:cs="Times New Roman"/>
          <w:b w:val="false"/>
          <w:bCs w:val="false"/>
          <w:sz w:val="24"/>
          <w:szCs w:val="24"/>
        </w:rPr>
        <w:t>«</w:t>
      </w:r>
      <w:r>
        <w:rPr>
          <w:b w:val="false"/>
          <w:bCs w:val="false"/>
        </w:rPr>
        <w:t>Об утверждении плана проведения проверок соблюдения законодательства Российской Федерации и иных нормативных правовых актов о контрактной системе в сфере закупок товаров, работ и услуг для обеспечения муниципальных нужд учреждениями, подведомственными управлению культуры города Калуги, на 2026 год</w:t>
      </w:r>
      <w:r>
        <w:rPr>
          <w:rFonts w:eastAsia="Times New Roman" w:cs="Times New Roman"/>
          <w:sz w:val="24"/>
          <w:szCs w:val="24"/>
        </w:rPr>
        <w:t>», проведена проверка соблюдения законодательства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>
        <w:rPr/>
        <w:t>муниципального бюджетного образовательного учреждения дополнительного образования «Детская школа искусств № 9» г.Калуги</w:t>
      </w:r>
      <w:r>
        <w:rPr>
          <w:rFonts w:eastAsia="Times New Roman" w:cs="Times New Roman"/>
          <w:sz w:val="24"/>
          <w:szCs w:val="24"/>
        </w:rPr>
        <w:t xml:space="preserve"> (далее - Проверка).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</w:rPr>
        <w:t>Проверка проведена комиссией, утверждённой приказом управления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учреждениями, подведомственными управлению культуры города Калуги» в составе: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tbl>
      <w:tblPr>
        <w:tblW w:w="102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35"/>
        <w:gridCol w:w="343"/>
        <w:gridCol w:w="7024"/>
      </w:tblGrid>
      <w:tr>
        <w:trPr/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Бубич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Ирина Юрьевна</w:t>
            </w:r>
          </w:p>
        </w:tc>
        <w:tc>
          <w:tcPr>
            <w:tcW w:w="343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4" w:type="dxa"/>
            <w:tcBorders/>
            <w:shd w:color="FFFFFF" w:fill="FFFFFF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заместитель начальника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управления культуры города Калуги (руководитель комиссии);</w:t>
            </w:r>
          </w:p>
        </w:tc>
      </w:tr>
      <w:tr>
        <w:trPr/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Смирнов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Геннадий Владимирович</w:t>
            </w:r>
          </w:p>
        </w:tc>
        <w:tc>
          <w:tcPr>
            <w:tcW w:w="343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4" w:type="dxa"/>
            <w:tcBorders/>
            <w:shd w:color="FFFFFF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управления культуры города Калуги;</w:t>
            </w:r>
          </w:p>
        </w:tc>
      </w:tr>
      <w:tr>
        <w:trPr/>
        <w:tc>
          <w:tcPr>
            <w:tcW w:w="2835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Радова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Наталия Сергеевна</w:t>
            </w:r>
          </w:p>
        </w:tc>
        <w:tc>
          <w:tcPr>
            <w:tcW w:w="343" w:type="dxa"/>
            <w:tcBorders/>
            <w:shd w:color="FFFFFF" w:fill="FFFFFF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24" w:type="dxa"/>
            <w:tcBorders/>
            <w:shd w:color="FFFFFF" w:fill="FFFFFF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главный специалист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отдела по финансово-бухгалтерскому и документационно-кадровому обеспечению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управления культуры города Калуги.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sz w:val="24"/>
          <w:szCs w:val="24"/>
        </w:rPr>
        <w:t>Проверяемый период: с 01.01.2025 по 30.04.2026.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начала проверки: 12.05.2026.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окончания проверки: 15.05.2026.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Предмет проверки: соблюдение требований законодательства Российской Федерации и иных нормативных правовых актов Российской Федерации, Калужской области, муниципальных правовых актов городского округа города Калуги Калужской области в сфере закупок товаров, работ, услуг для обеспечения муниципальных нужд городского округа города Калуги Калужской области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Вид проверки: плановая.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Форма проверки: выездная.</w:t>
      </w:r>
    </w:p>
    <w:p>
      <w:pPr>
        <w:pStyle w:val="NoSpacing"/>
        <w:shd w:val="clear" w:color="auto" w:fill="FFFFFF"/>
        <w:spacing w:lineRule="atLeast" w:line="27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Метод проверки: выборочный.</w:t>
      </w:r>
    </w:p>
    <w:p>
      <w:pPr>
        <w:pStyle w:val="NoSpacing"/>
        <w:ind w:firstLine="708" w:left="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Субъект проверки: м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униципальное бюджетное образовательное учреждение дополнительного образования «Детская школа искусств № 9» г.Калуги</w:t>
      </w:r>
      <w:r>
        <w:rPr>
          <w:rFonts w:cs="Times New Roman" w:ascii="Times New Roman" w:hAnsi="Times New Roman"/>
          <w:sz w:val="24"/>
          <w:szCs w:val="24"/>
        </w:rPr>
        <w:t xml:space="preserve"> (далее – Учреждение), ИНН 4004009925, КПП 402701001.</w:t>
      </w:r>
    </w:p>
    <w:p>
      <w:pPr>
        <w:pStyle w:val="Normal"/>
        <w:ind w:firstLine="708" w:left="0" w:right="0"/>
        <w:jc w:val="both"/>
        <w:rPr/>
      </w:pPr>
      <w:r>
        <w:rPr>
          <w:rFonts w:eastAsia="Times New Roman" w:cs="Times New Roman"/>
          <w:sz w:val="24"/>
          <w:szCs w:val="24"/>
        </w:rPr>
        <w:t>Адрес местонахождения субъекта проверки: ул. Мира, д. 5а, г. Калуга, 248000.</w:t>
      </w:r>
    </w:p>
    <w:p>
      <w:pPr>
        <w:pStyle w:val="Normal"/>
        <w:ind w:firstLine="709"/>
        <w:jc w:val="both"/>
        <w:rPr>
          <w:b/>
          <w:bCs/>
          <w:color w:val="000000"/>
          <w:highlight w:val="none"/>
        </w:rPr>
      </w:pPr>
      <w:r>
        <w:rPr>
          <w:b/>
          <w:bCs/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В ходе проверки были изучены: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>Устав Учреждения;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должностные обязанности специалистов Учреждения;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- нормативные акты Учреждения, регламентирующие организацию и осуществление закупок товаров, работ, услуг, изданные в проверяемый период; 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- реестр закупок;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планы–графики на 2025 и 2026 годы;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Cs/>
          <w:color w:val="000000"/>
          <w:shd w:fill="FFFFFF" w:val="clear"/>
        </w:rPr>
        <w:t>- отчеты, предусмотренные нормативными документами о контрактной системе;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iCs/>
          <w:color w:val="000000"/>
          <w:highlight w:val="white"/>
        </w:rPr>
        <w:t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bCs/>
          <w:iCs/>
          <w:color w:val="000000"/>
          <w:highlight w:val="white"/>
        </w:rPr>
        <w:t>- порядок использования Учреждением системы «Маркетинговые исследования малых закупок» Калужской области (МИМЗ)</w:t>
      </w:r>
      <w:r>
        <w:rPr>
          <w:iCs/>
          <w:color w:val="000000"/>
          <w:highlight w:val="white"/>
        </w:rPr>
        <w:t xml:space="preserve">. 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b/>
          <w:color w:val="000000"/>
        </w:rPr>
        <w:t>В ходе проверки</w:t>
      </w:r>
    </w:p>
    <w:p>
      <w:pPr>
        <w:pStyle w:val="Normal"/>
        <w:widowControl w:val="false"/>
        <w:ind w:firstLine="709"/>
        <w:jc w:val="center"/>
        <w:rPr>
          <w:color w:val="000000"/>
        </w:rPr>
      </w:pPr>
      <w:r>
        <w:rPr>
          <w:b/>
          <w:bCs/>
          <w:iCs/>
          <w:color w:val="000000"/>
          <w:highlight w:val="white"/>
        </w:rPr>
        <w:t>УСТАНОВЛЕНО:</w:t>
      </w:r>
    </w:p>
    <w:p>
      <w:pPr>
        <w:pStyle w:val="Normal"/>
        <w:widowControl w:val="false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26"/>
        <w:ind w:firstLine="708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Руководство Учреждением осуществляется директором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Копачинской Мариной Валерьевной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(распоряжение начальника управления культуры города Калуги о назначении на должность от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06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.0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.2025 №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157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-14-Р).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Копачинская М.В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зарегистрирована в единой информационной системе в сфере закупок на сайте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4"/>
            <w:szCs w:val="24"/>
            <w:u w:val="single"/>
          </w:rPr>
          <w:t>www.zakupki.gov.ru</w:t>
        </w:r>
      </w:hyperlink>
      <w:r>
        <w:rPr>
          <w:rStyle w:val="Hyperlink"/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(далее — ГИС ЕИС) с полномочиями: лицо,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уполномоченное на подписание в ГИС ЕИС распоряжений о совершении казначейских платежей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руководитель организации,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уполномоченное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лицо, администратор организации.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Ответственное лицо в сфере закупок товаров, работ, услуг для обеспечения нужд Учреждения </w:t>
      </w:r>
      <w:r>
        <w:rPr>
          <w:iCs/>
          <w:color w:val="000000"/>
          <w:highlight w:val="white"/>
        </w:rPr>
        <w:t>Ваесова Ольга Алексеевна</w:t>
      </w:r>
      <w:r>
        <w:rPr>
          <w:color w:val="000000"/>
        </w:rPr>
        <w:t xml:space="preserve"> – </w:t>
      </w:r>
      <w:r>
        <w:rPr>
          <w:color w:val="000000"/>
        </w:rPr>
        <w:t xml:space="preserve">главный </w:t>
      </w:r>
      <w:r>
        <w:rPr>
          <w:color w:val="000000"/>
        </w:rPr>
        <w:t>бухгалтер</w:t>
      </w:r>
      <w:r>
        <w:rPr>
          <w:color w:val="000000"/>
        </w:rPr>
        <w:t xml:space="preserve"> с обязанностями контрактного управляющего, </w:t>
      </w:r>
      <w:r>
        <w:rPr>
          <w:rFonts w:eastAsia="Times New Roman" w:cs="Times New Roman"/>
          <w:color w:val="000000"/>
          <w:sz w:val="24"/>
          <w:szCs w:val="24"/>
        </w:rPr>
        <w:t xml:space="preserve">лицо, </w:t>
      </w:r>
      <w:r>
        <w:rPr>
          <w:rFonts w:eastAsia="Times New Roman" w:cs="Times New Roman"/>
          <w:color w:val="000000"/>
          <w:sz w:val="24"/>
          <w:szCs w:val="24"/>
        </w:rPr>
        <w:t>уполномоченное на подписание в ГИС ЕИС распоряжений о совершении казначейских платежей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>главный бухгалтер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</w:rPr>
        <w:t xml:space="preserve">уполномоченное </w:t>
      </w:r>
      <w:r>
        <w:rPr>
          <w:rFonts w:eastAsia="Times New Roman" w:cs="Times New Roman"/>
          <w:color w:val="000000"/>
          <w:sz w:val="24"/>
          <w:szCs w:val="24"/>
        </w:rPr>
        <w:t>лицо, администратор организации.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муниципальным бюджетным учреждением. Учредитель городской округ города Калуги Калужской области. Функции и полномочия учредителя осуществляет управление культуры города Калуги (ГРБС) от имени администрации городского округа города Калуги.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Основными целями и задачами деятельности Учреждения являются: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образовательная деятельность по дополнительным общеобразовательным программам;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формирование и развитие творческих способностей учащихся.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Устава. 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Источниками финансового обеспечения Учреждения являются: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субсидии, предоставляемые на выполнение муниципального задания;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 xml:space="preserve">- субсидии на иные цели;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средства от приносящей доход деятельности (платные услуги, добровольные пожертвования и безвозмездные поступления от физических и (или) юридических лиц и иные доходы от приносящей доход деятельности).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bCs/>
          <w:iCs/>
          <w:color w:val="000000"/>
        </w:rPr>
        <w:t>С 01.01.2019 Учреждение работает в информационной системе «WEB-Торги-КС» Калужской области, из которой вся информация размещается в ЕИС.</w:t>
      </w:r>
    </w:p>
    <w:p>
      <w:pPr>
        <w:pStyle w:val="ListParagraph"/>
        <w:ind w:firstLine="708" w:left="0" w:right="0"/>
        <w:jc w:val="both"/>
        <w:rPr>
          <w:color w:val="000000"/>
        </w:rPr>
      </w:pPr>
      <w:r>
        <w:rPr>
          <w:bCs/>
          <w:iCs/>
          <w:color w:val="000000"/>
          <w:lang w:eastAsia="ru-RU"/>
        </w:rPr>
        <w:t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>Договора на поставку товаров, выполнение работ,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000000"/>
          <w:lang w:val="en-US"/>
        </w:rPr>
        <w:t>Web</w:t>
      </w:r>
      <w:r>
        <w:rPr>
          <w:color w:val="000000"/>
        </w:rPr>
        <w:t xml:space="preserve">-Торги-КС», в т.ч. с использованием системы «Маркетинговые исследования малых закупок» Калужской области (МИМЗ). </w:t>
      </w:r>
      <w:r>
        <w:rPr>
          <w:color w:val="000000"/>
        </w:rPr>
        <w:t>Конкурентные процедуры Учреждение в проверяемый период не проводило.</w:t>
      </w:r>
    </w:p>
    <w:p>
      <w:pPr>
        <w:pStyle w:val="Normal"/>
        <w:spacing w:before="0" w:after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Отчеты об объемах закупок у субъектов малого предпринимательства, социально ориентированных некоммерческих организаций за 2024 и 2025 годы Учреждением размещены в ГИС ЕИС своевременно </w:t>
      </w:r>
      <w:r>
        <w:rPr>
          <w:color w:val="000000"/>
        </w:rPr>
        <w:t>26</w:t>
      </w:r>
      <w:r>
        <w:rPr>
          <w:color w:val="000000"/>
        </w:rPr>
        <w:t>.0</w:t>
      </w:r>
      <w:r>
        <w:rPr>
          <w:color w:val="000000"/>
        </w:rPr>
        <w:t>2</w:t>
      </w:r>
      <w:r>
        <w:rPr>
          <w:color w:val="000000"/>
        </w:rPr>
        <w:t>.2025 и 2</w:t>
      </w:r>
      <w:r>
        <w:rPr>
          <w:color w:val="000000"/>
        </w:rPr>
        <w:t>8</w:t>
      </w:r>
      <w:r>
        <w:rPr>
          <w:color w:val="000000"/>
        </w:rPr>
        <w:t xml:space="preserve">.01.2026 соответственно. </w:t>
      </w:r>
    </w:p>
    <w:p>
      <w:pPr>
        <w:pStyle w:val="Normal"/>
        <w:spacing w:before="0" w:after="0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Отчеты о закупке товаров, произведенных в Российской Федерации за 2024 и 2025 годы Учреждением размещены в ГИС ЕИС своевременно </w:t>
      </w:r>
      <w:r>
        <w:rPr>
          <w:color w:val="000000"/>
        </w:rPr>
        <w:t>26</w:t>
      </w:r>
      <w:r>
        <w:rPr>
          <w:color w:val="000000"/>
        </w:rPr>
        <w:t>.0</w:t>
      </w:r>
      <w:r>
        <w:rPr>
          <w:color w:val="000000"/>
        </w:rPr>
        <w:t>2</w:t>
      </w:r>
      <w:r>
        <w:rPr>
          <w:color w:val="000000"/>
        </w:rPr>
        <w:t>.2025 и 2</w:t>
      </w:r>
      <w:r>
        <w:rPr>
          <w:color w:val="000000"/>
        </w:rPr>
        <w:t>8.</w:t>
      </w:r>
      <w:r>
        <w:rPr>
          <w:color w:val="000000"/>
        </w:rPr>
        <w:t>01.2026 соответственно.</w:t>
      </w:r>
    </w:p>
    <w:p>
      <w:pPr>
        <w:pStyle w:val="ListParagraph"/>
        <w:ind w:firstLine="708" w:left="0" w:right="0"/>
        <w:jc w:val="both"/>
        <w:rPr>
          <w:color w:val="000000"/>
        </w:rPr>
      </w:pPr>
      <w:r>
        <w:rPr>
          <w:color w:val="000000"/>
          <w:lang w:eastAsia="ru-RU"/>
        </w:rPr>
        <w:t xml:space="preserve">Первичные планы-графики закупок товаров, работ, услуг для обеспечения нужд субъекта Российской Федерации и муниципальных нужд на 2025 и 2026 финансовые года базовой версии 0.0 размещены в </w:t>
      </w:r>
      <w:r>
        <w:rPr>
          <w:color w:val="000000"/>
          <w:lang w:eastAsia="ru-RU"/>
        </w:rPr>
        <w:t>ГИС</w:t>
      </w:r>
      <w:r>
        <w:rPr>
          <w:color w:val="000000"/>
          <w:lang w:eastAsia="ru-RU"/>
        </w:rPr>
        <w:t xml:space="preserve"> ЕИС своевременно </w:t>
      </w:r>
      <w:r>
        <w:rPr>
          <w:color w:val="000000"/>
        </w:rPr>
        <w:t>14.01.2025 и 16.01.2026 соответственно</w:t>
      </w:r>
      <w:r>
        <w:rPr>
          <w:color w:val="000000"/>
          <w:lang w:eastAsia="ru-RU"/>
        </w:rPr>
        <w:t xml:space="preserve">. </w:t>
      </w:r>
    </w:p>
    <w:p>
      <w:pPr>
        <w:pStyle w:val="ListParagraph"/>
        <w:ind w:firstLine="708" w:left="0" w:right="0"/>
        <w:jc w:val="both"/>
        <w:rPr>
          <w:color w:val="000000"/>
        </w:rPr>
      </w:pPr>
      <w:r>
        <w:rPr>
          <w:color w:val="000000"/>
          <w:lang w:eastAsia="ru-RU"/>
        </w:rPr>
        <w:t xml:space="preserve">В 2025 году </w:t>
      </w:r>
      <w:r>
        <w:rPr>
          <w:color w:val="000000"/>
          <w:lang w:eastAsia="ru-RU"/>
        </w:rPr>
        <w:t>18</w:t>
      </w:r>
      <w:r>
        <w:rPr>
          <w:color w:val="000000"/>
          <w:lang w:eastAsia="ru-RU"/>
        </w:rPr>
        <w:t xml:space="preserve">.12.2025 в ГИС ЕИС размещен план-график закупок версии 5.0 на сумму </w:t>
        <w:br/>
      </w:r>
      <w:r>
        <w:rPr>
          <w:color w:val="000000"/>
          <w:lang w:eastAsia="ru-RU"/>
        </w:rPr>
        <w:t>817 607</w:t>
      </w:r>
      <w:r>
        <w:rPr>
          <w:color w:val="000000"/>
          <w:lang w:eastAsia="ru-RU"/>
        </w:rPr>
        <w:t xml:space="preserve"> рублей </w:t>
      </w:r>
      <w:r>
        <w:rPr>
          <w:color w:val="000000"/>
          <w:lang w:eastAsia="ru-RU"/>
        </w:rPr>
        <w:t>39</w:t>
      </w:r>
      <w:r>
        <w:rPr>
          <w:color w:val="000000"/>
          <w:lang w:eastAsia="ru-RU"/>
        </w:rPr>
        <w:t xml:space="preserve"> копеек, что соответствует бухгалтерской справке и утвержденному совокупному годовому объему закупок. </w:t>
      </w:r>
    </w:p>
    <w:p>
      <w:pPr>
        <w:pStyle w:val="ListParagraph"/>
        <w:ind w:firstLine="708" w:left="0" w:right="0"/>
        <w:jc w:val="both"/>
        <w:rPr>
          <w:color w:val="000000"/>
        </w:rPr>
      </w:pPr>
      <w:r>
        <w:rPr>
          <w:color w:val="000000"/>
          <w:lang w:eastAsia="ru-RU"/>
        </w:rPr>
        <w:t xml:space="preserve">В 2026 году 21.01.2026 в ГИС ЕИС размещен план-график закупок версии 1.0 на сумму </w:t>
        <w:br/>
      </w:r>
      <w:r>
        <w:rPr>
          <w:color w:val="000000"/>
          <w:lang w:eastAsia="ru-RU"/>
        </w:rPr>
        <w:t>1 650 883</w:t>
      </w:r>
      <w:r>
        <w:rPr>
          <w:color w:val="000000"/>
          <w:lang w:eastAsia="ru-RU"/>
        </w:rPr>
        <w:t xml:space="preserve"> рубл</w:t>
      </w:r>
      <w:r>
        <w:rPr>
          <w:color w:val="000000"/>
          <w:lang w:eastAsia="ru-RU"/>
        </w:rPr>
        <w:t>я</w:t>
      </w:r>
      <w:r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09</w:t>
      </w:r>
      <w:r>
        <w:rPr>
          <w:color w:val="000000"/>
          <w:lang w:eastAsia="ru-RU"/>
        </w:rPr>
        <w:t xml:space="preserve"> копеек, что соответствует бухгалтерской справке и утвержденному совокупному годовому объему закупок. </w:t>
      </w:r>
    </w:p>
    <w:p>
      <w:pPr>
        <w:pStyle w:val="ListParagraph"/>
        <w:ind w:firstLine="708" w:left="0" w:right="0"/>
        <w:jc w:val="both"/>
        <w:rPr>
          <w:color w:val="000000"/>
        </w:rPr>
      </w:pPr>
      <w:r>
        <w:rPr>
          <w:color w:val="000000"/>
          <w:lang w:eastAsia="ru-RU"/>
        </w:rPr>
        <w:t xml:space="preserve">При проведении выборочной проверки заключенных </w:t>
      </w:r>
      <w:r>
        <w:rPr>
          <w:color w:val="000000"/>
          <w:lang w:eastAsia="ru-RU"/>
        </w:rPr>
        <w:t xml:space="preserve">Учреждением </w:t>
      </w:r>
      <w:r>
        <w:rPr>
          <w:color w:val="000000"/>
          <w:lang w:eastAsia="ru-RU"/>
        </w:rPr>
        <w:t xml:space="preserve">в 2026 году договоров </w:t>
      </w:r>
      <w:r>
        <w:rPr>
          <w:color w:val="000000"/>
          <w:lang w:eastAsia="ru-RU"/>
        </w:rPr>
        <w:t>установлено что в отдельных договорах не указан индивидуальный код закупки (ИКЗ)</w:t>
      </w:r>
      <w:r>
        <w:rPr>
          <w:color w:val="000000"/>
          <w:lang w:eastAsia="ru-RU"/>
        </w:rPr>
        <w:t>.</w:t>
      </w:r>
    </w:p>
    <w:p>
      <w:pPr>
        <w:pStyle w:val="Normal"/>
        <w:tabs>
          <w:tab w:val="clear" w:pos="708"/>
          <w:tab w:val="left" w:pos="709" w:leader="none"/>
        </w:tabs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ind w:firstLine="708" w:left="0" w:right="0"/>
        <w:jc w:val="both"/>
        <w:rPr>
          <w:b/>
          <w:bCs/>
        </w:rPr>
      </w:pPr>
      <w:r>
        <w:rPr>
          <w:b/>
          <w:bCs/>
        </w:rPr>
        <w:t>Выводы: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ind w:firstLine="709"/>
        <w:jc w:val="both"/>
        <w:rPr/>
      </w:pPr>
      <w:r>
        <w:rPr/>
        <w:t>1. Направить Акт проверки Учреждению.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2. Разместить настоящий Акт проверки в единой информационной системе в сфере закупок (ГИС ЕИС закупки).</w:t>
      </w:r>
    </w:p>
    <w:p>
      <w:pPr>
        <w:pStyle w:val="ListParagraph"/>
        <w:ind w:firstLine="708" w:left="0" w:right="0"/>
        <w:jc w:val="both"/>
        <w:rPr/>
      </w:pPr>
      <w:r>
        <w:rPr/>
      </w:r>
    </w:p>
    <w:p>
      <w:pPr>
        <w:pStyle w:val="ListParagraph"/>
        <w:ind w:firstLine="708" w:left="0" w:right="0"/>
        <w:jc w:val="both"/>
        <w:rPr>
          <w:highlight w:val="none"/>
        </w:rPr>
      </w:pPr>
      <w:r>
        <w:rPr>
          <w:bCs/>
        </w:rPr>
        <w:t>Акт составлен в 2-х экземплярах на 3 листах.</w:t>
      </w:r>
    </w:p>
    <w:p>
      <w:pPr>
        <w:pStyle w:val="ListParagraph"/>
        <w:ind w:hanging="0" w:left="0" w:right="0"/>
        <w:jc w:val="both"/>
        <w:rPr>
          <w:bCs/>
        </w:rPr>
      </w:pPr>
      <w:r>
        <w:rPr>
          <w:bCs/>
        </w:rPr>
      </w:r>
    </w:p>
    <w:tbl>
      <w:tblPr>
        <w:tblW w:w="9712" w:type="dxa"/>
        <w:jc w:val="left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4042"/>
        <w:gridCol w:w="2162"/>
        <w:gridCol w:w="3508"/>
      </w:tblGrid>
      <w:tr>
        <w:trPr/>
        <w:tc>
          <w:tcPr>
            <w:tcW w:w="4042" w:type="dxa"/>
            <w:tcBorders/>
            <w:shd w:color="FFFFFF" w:fill="FFFFFF" w:val="clear"/>
          </w:tcPr>
          <w:p>
            <w:pPr>
              <w:pStyle w:val="ListParagraph"/>
              <w:ind w:hanging="0" w:left="0" w:right="0"/>
              <w:jc w:val="both"/>
              <w:rPr/>
            </w:pPr>
            <w:r>
              <w:rPr>
                <w:bCs/>
              </w:rPr>
              <w:t>Председатель комиссии:</w:t>
            </w:r>
          </w:p>
        </w:tc>
        <w:tc>
          <w:tcPr>
            <w:tcW w:w="2162" w:type="dxa"/>
            <w:tcBorders/>
            <w:shd w:color="FFFFFF" w:fill="FFFFFF" w:val="clear"/>
          </w:tcPr>
          <w:p>
            <w:pPr>
              <w:pStyle w:val="ListParagraph"/>
              <w:ind w:hanging="0" w:left="0" w:right="0"/>
              <w:jc w:val="both"/>
              <w:rPr/>
            </w:pPr>
            <w:r>
              <w:rPr>
                <w:bCs/>
              </w:rPr>
              <w:t>________________</w:t>
            </w:r>
          </w:p>
        </w:tc>
        <w:tc>
          <w:tcPr>
            <w:tcW w:w="3508" w:type="dxa"/>
            <w:tcBorders/>
            <w:shd w:color="FFFFFF" w:fill="FFFFFF" w:val="clear"/>
          </w:tcPr>
          <w:p>
            <w:pPr>
              <w:pStyle w:val="Normal"/>
              <w:rPr/>
            </w:pPr>
            <w:r>
              <w:rPr>
                <w:bCs/>
              </w:rPr>
              <w:t>Бубич И.Ю.</w:t>
            </w:r>
          </w:p>
          <w:p>
            <w:pPr>
              <w:pStyle w:val="ListParagraph"/>
              <w:ind w:hanging="0" w:left="0" w:right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042" w:type="dxa"/>
            <w:tcBorders/>
            <w:shd w:color="auto" w:fill="FFFFFF" w:val="clear"/>
          </w:tcPr>
          <w:p>
            <w:pPr>
              <w:pStyle w:val="ListParagraph"/>
              <w:ind w:hanging="0" w:left="0" w:right="0"/>
              <w:jc w:val="both"/>
              <w:rPr/>
            </w:pPr>
            <w:r>
              <w:rPr>
                <w:bCs/>
              </w:rPr>
              <w:t>Члены комиссии:</w:t>
            </w:r>
          </w:p>
        </w:tc>
        <w:tc>
          <w:tcPr>
            <w:tcW w:w="2162" w:type="dxa"/>
            <w:tcBorders/>
            <w:shd w:color="auto" w:fill="FFFFFF" w:val="clear"/>
          </w:tcPr>
          <w:p>
            <w:pPr>
              <w:pStyle w:val="ListParagraph"/>
              <w:ind w:hanging="0" w:left="0" w:right="0"/>
              <w:jc w:val="both"/>
              <w:rPr/>
            </w:pPr>
            <w:r>
              <w:rPr>
                <w:bCs/>
              </w:rPr>
              <w:t>________________</w:t>
            </w:r>
          </w:p>
        </w:tc>
        <w:tc>
          <w:tcPr>
            <w:tcW w:w="3508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>
                <w:bCs/>
              </w:rPr>
              <w:t>Смирнов Г.В.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4042" w:type="dxa"/>
            <w:tcBorders/>
            <w:shd w:color="auto" w:fill="FFFFFF" w:val="clear"/>
          </w:tcPr>
          <w:p>
            <w:pPr>
              <w:pStyle w:val="ListParagraph"/>
              <w:ind w:hanging="0" w:left="0" w:right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162" w:type="dxa"/>
            <w:tcBorders/>
            <w:shd w:color="auto" w:fill="FFFFFF" w:val="clear"/>
          </w:tcPr>
          <w:p>
            <w:pPr>
              <w:pStyle w:val="ListParagraph"/>
              <w:ind w:hanging="0" w:left="0" w:right="0"/>
              <w:jc w:val="both"/>
              <w:rPr/>
            </w:pPr>
            <w:r>
              <w:rPr>
                <w:bCs/>
              </w:rPr>
              <w:t>________________</w:t>
            </w:r>
          </w:p>
        </w:tc>
        <w:tc>
          <w:tcPr>
            <w:tcW w:w="3508" w:type="dxa"/>
            <w:tcBorders/>
            <w:shd w:color="auto" w:fill="FFFFFF" w:val="clear"/>
          </w:tcPr>
          <w:p>
            <w:pPr>
              <w:pStyle w:val="Normal"/>
              <w:rPr/>
            </w:pPr>
            <w:r>
              <w:rPr>
                <w:bCs/>
              </w:rPr>
              <w:t>Радова Н.С.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firstLine="709"/>
        <w:jc w:val="both"/>
        <w:rPr>
          <w:highlight w:val="none"/>
        </w:rPr>
      </w:pPr>
      <w:r>
        <w:rPr/>
      </w:r>
    </w:p>
    <w:p>
      <w:pPr>
        <w:pStyle w:val="Normal"/>
        <w:widowControl w:val="false"/>
        <w:ind w:firstLine="709"/>
        <w:jc w:val="both"/>
        <w:rPr>
          <w:highlight w:val="none"/>
        </w:rPr>
      </w:pPr>
      <w:r>
        <w:rPr/>
        <w:t>В случае несогласия с вынесенным решением Вы имеете право в течение 10 рабочих дней со дня получения копии акта проверки, представить в орган ведомственного контроля в сфере закупок управления культуры города Калуги, по адресу: г. Калуга, ул. Салтыкова-Щедрина, дом 72 письменные возражения по фактам, изложенным в акте проверки.</w:t>
      </w:r>
    </w:p>
    <w:p>
      <w:pPr>
        <w:pStyle w:val="Normal"/>
        <w:ind w:firstLine="390"/>
        <w:jc w:val="both"/>
        <w:rPr/>
      </w:pPr>
      <w:r>
        <w:rPr/>
      </w:r>
    </w:p>
    <w:p>
      <w:pPr>
        <w:pStyle w:val="Normal"/>
        <w:ind w:firstLine="390"/>
        <w:jc w:val="both"/>
        <w:rPr>
          <w:highlight w:val="none"/>
        </w:rPr>
      </w:pPr>
      <w:r>
        <w:rPr/>
        <w:t>Акт получил:</w:t>
      </w:r>
    </w:p>
    <w:p>
      <w:pPr>
        <w:pStyle w:val="Normal"/>
        <w:ind w:firstLine="390"/>
        <w:jc w:val="both"/>
        <w:rPr/>
      </w:pPr>
      <w:r>
        <w:rPr/>
        <w:t>_______________________________</w:t>
        <w:tab/>
        <w:tab/>
        <w:t xml:space="preserve">                      «___» мая 2026 года</w:t>
      </w:r>
    </w:p>
    <w:p>
      <w:pPr>
        <w:pStyle w:val="Normal"/>
        <w:ind w:firstLine="390"/>
        <w:jc w:val="both"/>
        <w:rPr/>
      </w:pPr>
      <w:r>
        <w:rPr/>
        <w:t xml:space="preserve">           </w:t>
      </w:r>
      <w:r>
        <w:rPr/>
        <w:t>(должность, подпись, ФИО)</w:t>
      </w:r>
    </w:p>
    <w:sectPr>
      <w:type w:val="nextPage"/>
      <w:pgSz w:w="11906" w:h="16838"/>
      <w:pgMar w:left="1245" w:right="566" w:gutter="0" w:header="0" w:top="710" w:footer="0" w:bottom="53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isLgl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pStyle w:val="Heading2"/>
      <w:isLgl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pStyle w:val="Heading3"/>
      <w:isLgl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pStyle w:val="Heading4"/>
      <w:isLgl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BodyText"/>
    <w:link w:val="Heading1Char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szCs w:val="20"/>
    </w:rPr>
  </w:style>
  <w:style w:type="paragraph" w:styleId="Heading2">
    <w:name w:val="heading 2"/>
    <w:basedOn w:val="Normal"/>
    <w:next w:val="BodyText"/>
    <w:link w:val="Heading2Char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Style14"/>
    <w:next w:val="BodyText"/>
    <w:link w:val="Heading3Char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 w:customStyle="1">
    <w:name w:val="Hyperlink"/>
    <w:basedOn w:val="DefaultParagraphFont"/>
    <w:qFormat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6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eastAsia="Calibri"/>
      <w:lang w:eastAsia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 w:default="1">
    <w:name w:val="Default Paragraph Font"/>
    <w:qFormat/>
    <w:rPr/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user1">
    <w:name w:val="Символ сноски (user)"/>
    <w:qFormat/>
    <w:rPr>
      <w:vertAlign w:val="superscript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8">
    <w:name w:val="Цветовое выделение"/>
    <w:qFormat/>
    <w:rPr>
      <w:b/>
      <w:bCs/>
      <w:color w:val="26282F"/>
    </w:rPr>
  </w:style>
  <w:style w:type="character" w:styleId="Style9">
    <w:name w:val="Гипертекстовая ссылка"/>
    <w:qFormat/>
    <w:rPr>
      <w:b/>
      <w:bCs/>
      <w:color w:val="106BBE"/>
    </w:rPr>
  </w:style>
  <w:style w:type="character" w:styleId="Style10">
    <w:name w:val="Гиперссылка"/>
    <w:qFormat/>
    <w:rPr>
      <w:color w:val="0000FF"/>
      <w:u w:val="single"/>
    </w:rPr>
  </w:style>
  <w:style w:type="character" w:styleId="Style11">
    <w:name w:val="Подзаголовок Знак"/>
    <w:qFormat/>
    <w:rPr>
      <w:b/>
      <w:bCs/>
      <w:sz w:val="28"/>
      <w:szCs w:val="24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qFormat/>
    <w:pPr/>
    <w:rPr>
      <w:rFonts w:cs="Mangal"/>
    </w:rPr>
  </w:style>
  <w:style w:type="paragraph" w:styleId="Caption">
    <w:name w:val="caption"/>
    <w:basedOn w:val="Style14"/>
    <w:next w:val="BodyText"/>
    <w:qFormat/>
    <w:pPr/>
    <w:rPr/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user4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bCs/>
      <w:color w:val="00000A"/>
      <w:kern w:val="0"/>
      <w:sz w:val="16"/>
      <w:szCs w:val="16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Arial"/>
      <w:color w:val="00000A"/>
      <w:kern w:val="0"/>
      <w:sz w:val="24"/>
      <w:szCs w:val="20"/>
      <w:lang w:val="ru-RU" w:eastAsia="ru-RU" w:bidi="ar-SA"/>
    </w:rPr>
  </w:style>
  <w:style w:type="paragraph" w:styleId="BodyTextIndent">
    <w:name w:val="Body Text Indent"/>
    <w:basedOn w:val="Normal"/>
    <w:qFormat/>
    <w:pPr>
      <w:ind w:firstLine="550" w:left="0" w:right="0"/>
      <w:jc w:val="both"/>
    </w:pPr>
    <w:rPr>
      <w:sz w:val="28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Courier New"/>
      <w:color w:val="00000A"/>
      <w:kern w:val="0"/>
      <w:sz w:val="24"/>
      <w:szCs w:val="20"/>
      <w:lang w:val="ru-RU" w:eastAsia="ru-RU" w:bidi="ar-SA"/>
    </w:rPr>
  </w:style>
  <w:style w:type="paragraph" w:styleId="Style18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tekstob">
    <w:name w:val="tekstob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val="ru-RU" w:eastAsia="ru-RU" w:bidi="ar-SA"/>
    </w:rPr>
  </w:style>
  <w:style w:type="paragraph" w:styleId="Style19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  <w:sz w:val="26"/>
      <w:szCs w:val="26"/>
    </w:rPr>
  </w:style>
  <w:style w:type="paragraph" w:styleId="Style20">
    <w:name w:val="Прижатый влево"/>
    <w:basedOn w:val="Normal"/>
    <w:qFormat/>
    <w:pPr>
      <w:widowControl w:val="false"/>
    </w:pPr>
    <w:rPr>
      <w:rFonts w:ascii="Arial" w:hAnsi="Arial" w:cs="Arial"/>
      <w:sz w:val="26"/>
      <w:szCs w:val="26"/>
    </w:rPr>
  </w:style>
  <w:style w:type="paragraph" w:styleId="11">
    <w:name w:val="Абзац списка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00000A"/>
      <w:kern w:val="0"/>
      <w:sz w:val="22"/>
      <w:szCs w:val="22"/>
      <w:lang w:val="ru-RU" w:eastAsia="en-US" w:bidi="ar-SA"/>
    </w:rPr>
  </w:style>
  <w:style w:type="paragraph" w:styleId="2">
    <w:name w:val="Название объекта2"/>
    <w:basedOn w:val="Normal"/>
    <w:qFormat/>
    <w:pPr>
      <w:jc w:val="center"/>
    </w:pPr>
    <w:rPr>
      <w:sz w:val="28"/>
      <w:szCs w:val="20"/>
      <w:lang w:eastAsia="ar-SA"/>
    </w:rPr>
  </w:style>
  <w:style w:type="paragraph" w:styleId="21">
    <w:name w:val="Абзац списка2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parametervalue">
    <w:name w:val="parametervalue"/>
    <w:basedOn w:val="Normal"/>
    <w:qFormat/>
    <w:pPr>
      <w:spacing w:before="280" w:after="280"/>
    </w:pPr>
    <w:rPr>
      <w:lang w:eastAsia="zh-CN"/>
    </w:rPr>
  </w:style>
  <w:style w:type="paragraph" w:styleId="Style21">
    <w:name w:val="Блочная цитата"/>
    <w:basedOn w:val="Normal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Заголовок списка"/>
    <w:basedOn w:val="Normal"/>
    <w:next w:val="Style24"/>
    <w:qFormat/>
    <w:pPr>
      <w:ind w:hanging="0" w:left="0" w:right="0"/>
    </w:pPr>
    <w:rPr/>
  </w:style>
  <w:style w:type="paragraph" w:styleId="Style26" w:customStyle="1">
    <w:name w:val="Без интервала"/>
    <w:qFormat/>
    <w:pPr>
      <w:keepNext w:val="false"/>
      <w:keepLines w:val="false"/>
      <w:pageBreakBefore w:val="false"/>
      <w:widowControl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kern w:val="0"/>
      <w:position w:val="0"/>
      <w:sz w:val="22"/>
      <w:szCs w:val="22"/>
      <w:u w:val="none"/>
      <w:vertAlign w:val="baseline"/>
      <w:lang w:val="ru-RU" w:eastAsia="en-US" w:bidi="ar-SA"/>
      <w14:ligatures w14:val="none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Style27">
    <w:name w:val="Нет списка"/>
    <w:uiPriority w:val="99"/>
    <w:semiHidden/>
    <w:unhideWhenUsed/>
    <w:qFormat/>
  </w:style>
  <w:style w:type="table" w:default="1" w:styleId="66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9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0">
    <w:name w:val="Table Grid Light"/>
    <w:basedOn w:val="66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1">
    <w:name w:val="Plain Table 1"/>
    <w:basedOn w:val="66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2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3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5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6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7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8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9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0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2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12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13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14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5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6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7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8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6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7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8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59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760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8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769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770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77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772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773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774">
    <w:name w:val="Lined - Accen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ned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ned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ned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ned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ned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ned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Bordered &amp; Lined - Accen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Bordered &amp; Lin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Bordered &amp; Lin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Bordered &amp; Lin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Bordered &amp; Lin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Bordered &amp; Lin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Bordered &amp; Lin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Обычная таблица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pki.gov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LibreOffice/26.2.3.2$Windows_X86_64 LibreOffice_project/70e089b17412e4cb7773e41413306b17a2328c34</Application>
  <AppVersion>15.0000</AppVersion>
  <Pages>3</Pages>
  <Words>1147</Words>
  <Characters>8260</Characters>
  <CharactersWithSpaces>9409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2021-11-10T14:41:00Z</dcterms:created>
  <dc:creator>gricynaia</dc:creator>
  <dc:description/>
  <dc:language>ru-RU</dc:language>
  <cp:lastModifiedBy/>
  <cp:lastPrinted>2026-05-15T11:28:47Z</cp:lastPrinted>
  <dcterms:modified xsi:type="dcterms:W3CDTF">2026-05-15T11:40:49Z</dcterms:modified>
  <cp:revision>12</cp:revision>
  <dc:subject/>
  <dc:title>ГОРОДСКАЯ УПРАВА ГОРОДА КАЛУГИ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