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6FB0" w14:textId="77777777" w:rsidR="009D57FF" w:rsidRPr="0052573E" w:rsidRDefault="009D57FF" w:rsidP="009D57FF">
      <w:pPr>
        <w:spacing w:after="0" w:line="240" w:lineRule="auto"/>
        <w:jc w:val="center"/>
        <w:rPr>
          <w:b/>
          <w:bCs/>
        </w:rPr>
      </w:pPr>
      <w:r w:rsidRPr="0052573E">
        <w:rPr>
          <w:b/>
          <w:bCs/>
        </w:rPr>
        <w:t>Информация</w:t>
      </w:r>
    </w:p>
    <w:p w14:paraId="284F87AF" w14:textId="7FA5AE4E" w:rsidR="009D57FF" w:rsidRPr="0052573E" w:rsidRDefault="009D57FF" w:rsidP="00925FA4">
      <w:pPr>
        <w:spacing w:after="0" w:line="240" w:lineRule="auto"/>
        <w:ind w:left="850" w:right="850"/>
        <w:jc w:val="center"/>
        <w:rPr>
          <w:rFonts w:eastAsia="SimSun"/>
          <w:b/>
          <w:bCs/>
          <w:kern w:val="2"/>
          <w:lang w:bidi="hi-IN"/>
        </w:rPr>
      </w:pPr>
      <w:r w:rsidRPr="0052573E">
        <w:rPr>
          <w:b/>
          <w:bCs/>
        </w:rPr>
        <w:t xml:space="preserve">о результатах рассмотрения заявок участников отбора по </w:t>
      </w:r>
      <w:r w:rsidRPr="0052573E">
        <w:rPr>
          <w:rFonts w:eastAsia="SimSun"/>
          <w:b/>
          <w:bCs/>
          <w:kern w:val="2"/>
          <w:lang w:bidi="hi-IN"/>
        </w:rPr>
        <w:t xml:space="preserve">предоставлению субсидий из бюджета муниципального образования </w:t>
      </w:r>
      <w:r w:rsidR="00BD3418">
        <w:rPr>
          <w:rFonts w:eastAsia="SimSun"/>
          <w:b/>
          <w:bCs/>
          <w:kern w:val="2"/>
          <w:lang w:bidi="hi-IN"/>
        </w:rPr>
        <w:t>«</w:t>
      </w:r>
      <w:r w:rsidRPr="0052573E">
        <w:rPr>
          <w:rFonts w:eastAsia="SimSun"/>
          <w:b/>
          <w:bCs/>
          <w:kern w:val="2"/>
          <w:lang w:bidi="hi-IN"/>
        </w:rPr>
        <w:t>Город Калуга</w:t>
      </w:r>
      <w:r w:rsidR="00BD3418">
        <w:rPr>
          <w:rFonts w:eastAsia="SimSun"/>
          <w:b/>
          <w:bCs/>
          <w:kern w:val="2"/>
          <w:lang w:bidi="hi-IN"/>
        </w:rPr>
        <w:t>»</w:t>
      </w:r>
      <w:r w:rsidRPr="0052573E">
        <w:rPr>
          <w:rFonts w:eastAsia="SimSun"/>
          <w:b/>
          <w:bCs/>
          <w:kern w:val="2"/>
          <w:lang w:bidi="hi-IN"/>
        </w:rPr>
        <w:t xml:space="preserve"> субъектам малого и среднего предпринимательства</w:t>
      </w:r>
    </w:p>
    <w:p w14:paraId="0E1508C3" w14:textId="77777777" w:rsidR="0055259B" w:rsidRDefault="0055259B" w:rsidP="009D57FF"/>
    <w:p w14:paraId="57FDDF8E" w14:textId="7373640C" w:rsidR="009D57FF" w:rsidRPr="0052573E" w:rsidRDefault="009D57FF" w:rsidP="009D57FF">
      <w:r w:rsidRPr="0052573E">
        <w:t>1.</w:t>
      </w:r>
      <w:r w:rsidR="00C01237">
        <w:t> </w:t>
      </w:r>
      <w:r w:rsidRPr="0052573E">
        <w:t>Дата и место проведения рассмотрения заявок:</w:t>
      </w:r>
    </w:p>
    <w:p w14:paraId="417625B3" w14:textId="00598FCD" w:rsidR="009D57FF" w:rsidRPr="0052573E" w:rsidRDefault="0055259B" w:rsidP="009D57FF">
      <w:r>
        <w:t>2</w:t>
      </w:r>
      <w:r w:rsidR="00567951">
        <w:t>4</w:t>
      </w:r>
      <w:r w:rsidR="009D57FF" w:rsidRPr="0052573E">
        <w:t>.1</w:t>
      </w:r>
      <w:r w:rsidR="00567951">
        <w:t>0</w:t>
      </w:r>
      <w:r w:rsidR="009D57FF" w:rsidRPr="0052573E">
        <w:t>.202</w:t>
      </w:r>
      <w:r w:rsidR="00567951">
        <w:t>5</w:t>
      </w:r>
      <w:r w:rsidR="009D57FF" w:rsidRPr="0052573E">
        <w:t>, Калуга, Воробьевская, д.5, к.211</w:t>
      </w:r>
    </w:p>
    <w:p w14:paraId="6C911912" w14:textId="2CD21792" w:rsidR="009D57FF" w:rsidRPr="0052573E" w:rsidRDefault="009D57FF" w:rsidP="009D57FF">
      <w:r w:rsidRPr="0052573E">
        <w:t>2.</w:t>
      </w:r>
      <w:r w:rsidR="0055259B">
        <w:t> </w:t>
      </w:r>
      <w:r w:rsidR="00567951">
        <w:t>У</w:t>
      </w:r>
      <w:r w:rsidRPr="0052573E">
        <w:t>частник</w:t>
      </w:r>
      <w:r w:rsidR="00567951">
        <w:t>и</w:t>
      </w:r>
      <w:r w:rsidR="00C01237">
        <w:t xml:space="preserve"> </w:t>
      </w:r>
      <w:r w:rsidRPr="0052573E">
        <w:t>отбора, заявки которых были рассмотрены:</w:t>
      </w:r>
    </w:p>
    <w:p w14:paraId="4F06644D" w14:textId="765AF4D6" w:rsidR="00567951" w:rsidRPr="00567951" w:rsidRDefault="00BD3418" w:rsidP="00925FA4">
      <w:pPr>
        <w:jc w:val="both"/>
      </w:pP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Алёхин Константин Станиславович,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Антипин Леонид Николаевич,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Губанова Анна Владимировна,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Ерошина Оксана Владимировна,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Иванов Андрей Львович,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Клюшкин Анатолий Анатольевич, </w:t>
      </w:r>
      <w:r>
        <w:rPr>
          <w:rFonts w:eastAsia="Times New Roman"/>
          <w:lang w:eastAsia="ru-RU"/>
        </w:rPr>
        <w:t>ИП </w:t>
      </w:r>
      <w:proofErr w:type="spellStart"/>
      <w:r w:rsidR="00567951" w:rsidRPr="00567951">
        <w:rPr>
          <w:rFonts w:eastAsia="Times New Roman"/>
          <w:lang w:eastAsia="ru-RU"/>
        </w:rPr>
        <w:t>Сакаев</w:t>
      </w:r>
      <w:proofErr w:type="spellEnd"/>
      <w:r w:rsidR="00567951" w:rsidRPr="00567951">
        <w:rPr>
          <w:rFonts w:eastAsia="Times New Roman"/>
          <w:lang w:eastAsia="ru-RU"/>
        </w:rPr>
        <w:t xml:space="preserve"> Владислав </w:t>
      </w:r>
      <w:proofErr w:type="spellStart"/>
      <w:r w:rsidR="00567951" w:rsidRPr="00567951">
        <w:rPr>
          <w:rFonts w:eastAsia="Times New Roman"/>
          <w:lang w:eastAsia="ru-RU"/>
        </w:rPr>
        <w:t>Ринатович</w:t>
      </w:r>
      <w:proofErr w:type="spellEnd"/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Тарасенко Олеся Юрьевна,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Ушаков Никита Александрович,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Харин Сергей Михайлович,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Чумаков Михаил Сергеевич, </w:t>
      </w:r>
      <w:r>
        <w:rPr>
          <w:rFonts w:eastAsia="Times New Roman"/>
          <w:lang w:eastAsia="ru-RU"/>
        </w:rPr>
        <w:t>ИП </w:t>
      </w:r>
      <w:r w:rsidR="00567951" w:rsidRPr="00567951">
        <w:rPr>
          <w:rFonts w:eastAsia="Times New Roman"/>
          <w:lang w:eastAsia="ru-RU"/>
        </w:rPr>
        <w:t xml:space="preserve">Якунин Алексей Викторович,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>13 ЭЛЕМЕНТ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>ВСЕ ДВЕРИ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>ГЕРКУЛЕС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 xml:space="preserve">ГК </w:t>
      </w:r>
      <w:r>
        <w:rPr>
          <w:rFonts w:eastAsia="Times New Roman"/>
          <w:lang w:eastAsia="ru-RU"/>
        </w:rPr>
        <w:t>«</w:t>
      </w:r>
      <w:r w:rsidR="00567951" w:rsidRPr="00567951">
        <w:rPr>
          <w:rFonts w:eastAsia="Times New Roman"/>
          <w:lang w:eastAsia="ru-RU"/>
        </w:rPr>
        <w:t>ЗНАКЪ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>ДФС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>МКТУЛС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>С.Б.С.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proofErr w:type="spellStart"/>
      <w:r w:rsidR="00567951" w:rsidRPr="00567951">
        <w:rPr>
          <w:rFonts w:eastAsia="Times New Roman"/>
          <w:lang w:eastAsia="ru-RU"/>
        </w:rPr>
        <w:t>Технопром</w:t>
      </w:r>
      <w:proofErr w:type="spellEnd"/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>КАМИН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proofErr w:type="spellStart"/>
      <w:r w:rsidR="00567951" w:rsidRPr="00567951">
        <w:rPr>
          <w:rFonts w:eastAsia="Times New Roman"/>
          <w:lang w:eastAsia="ru-RU"/>
        </w:rPr>
        <w:t>Рекадро</w:t>
      </w:r>
      <w:proofErr w:type="spellEnd"/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proofErr w:type="spellStart"/>
      <w:r w:rsidR="00567951" w:rsidRPr="00567951">
        <w:rPr>
          <w:rFonts w:eastAsia="Times New Roman"/>
          <w:lang w:eastAsia="ru-RU"/>
        </w:rPr>
        <w:t>ТехПромСервис</w:t>
      </w:r>
      <w:proofErr w:type="spellEnd"/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>ЭРГА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«</w:t>
      </w:r>
      <w:r w:rsidR="00567951" w:rsidRPr="00567951">
        <w:rPr>
          <w:rFonts w:eastAsia="Times New Roman"/>
          <w:lang w:eastAsia="ru-RU"/>
        </w:rPr>
        <w:t>ЭТЗ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67951" w:rsidRPr="00567951">
        <w:rPr>
          <w:rFonts w:eastAsia="Times New Roman"/>
          <w:lang w:eastAsia="ru-RU"/>
        </w:rPr>
        <w:t xml:space="preserve">КРПЗ </w:t>
      </w:r>
      <w:r>
        <w:rPr>
          <w:rFonts w:eastAsia="Times New Roman"/>
          <w:lang w:eastAsia="ru-RU"/>
        </w:rPr>
        <w:t>«</w:t>
      </w:r>
      <w:r w:rsidR="00567951" w:rsidRPr="00567951">
        <w:rPr>
          <w:rFonts w:eastAsia="Times New Roman"/>
          <w:lang w:eastAsia="ru-RU"/>
        </w:rPr>
        <w:t>Морепродукты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67951" w:rsidRPr="00567951">
        <w:rPr>
          <w:rFonts w:eastAsia="Times New Roman"/>
          <w:lang w:eastAsia="ru-RU"/>
        </w:rPr>
        <w:t xml:space="preserve">Медицинская клиника </w:t>
      </w:r>
      <w:r>
        <w:rPr>
          <w:rFonts w:eastAsia="Times New Roman"/>
          <w:lang w:eastAsia="ru-RU"/>
        </w:rPr>
        <w:t>«</w:t>
      </w:r>
      <w:proofErr w:type="spellStart"/>
      <w:r w:rsidR="00567951" w:rsidRPr="00567951">
        <w:rPr>
          <w:rFonts w:eastAsia="Times New Roman"/>
          <w:lang w:eastAsia="ru-RU"/>
        </w:rPr>
        <w:t>СемьЯ</w:t>
      </w:r>
      <w:proofErr w:type="spellEnd"/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67951" w:rsidRPr="00567951">
        <w:rPr>
          <w:rFonts w:eastAsia="Times New Roman"/>
          <w:lang w:eastAsia="ru-RU"/>
        </w:rPr>
        <w:t xml:space="preserve">НПФ </w:t>
      </w:r>
      <w:r>
        <w:rPr>
          <w:rFonts w:eastAsia="Times New Roman"/>
          <w:lang w:eastAsia="ru-RU"/>
        </w:rPr>
        <w:t>«</w:t>
      </w:r>
      <w:r w:rsidR="00567951" w:rsidRPr="00567951">
        <w:rPr>
          <w:rFonts w:eastAsia="Times New Roman"/>
          <w:lang w:eastAsia="ru-RU"/>
        </w:rPr>
        <w:t>МЕГА-К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67951" w:rsidRPr="00567951">
        <w:rPr>
          <w:rFonts w:eastAsia="Times New Roman"/>
          <w:lang w:eastAsia="ru-RU"/>
        </w:rPr>
        <w:t xml:space="preserve">СЦ </w:t>
      </w:r>
      <w:r>
        <w:rPr>
          <w:rFonts w:eastAsia="Times New Roman"/>
          <w:lang w:eastAsia="ru-RU"/>
        </w:rPr>
        <w:t>«</w:t>
      </w:r>
      <w:r w:rsidR="00567951" w:rsidRPr="00567951">
        <w:rPr>
          <w:rFonts w:eastAsia="Times New Roman"/>
          <w:lang w:eastAsia="ru-RU"/>
        </w:rPr>
        <w:t>КАТЕК</w:t>
      </w:r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ООО </w:t>
      </w:r>
      <w:r w:rsidR="00567951" w:rsidRPr="00567951">
        <w:rPr>
          <w:rFonts w:eastAsia="Times New Roman"/>
          <w:lang w:eastAsia="ru-RU"/>
        </w:rPr>
        <w:t xml:space="preserve">Фирма </w:t>
      </w:r>
      <w:r>
        <w:rPr>
          <w:rFonts w:eastAsia="Times New Roman"/>
          <w:lang w:eastAsia="ru-RU"/>
        </w:rPr>
        <w:t>«</w:t>
      </w:r>
      <w:proofErr w:type="spellStart"/>
      <w:r w:rsidR="00567951" w:rsidRPr="00567951">
        <w:rPr>
          <w:rFonts w:eastAsia="Times New Roman"/>
          <w:lang w:eastAsia="ru-RU"/>
        </w:rPr>
        <w:t>Экоаналитика</w:t>
      </w:r>
      <w:proofErr w:type="spellEnd"/>
      <w:r>
        <w:rPr>
          <w:rFonts w:eastAsia="Times New Roman"/>
          <w:lang w:eastAsia="ru-RU"/>
        </w:rPr>
        <w:t>»</w:t>
      </w:r>
      <w:r w:rsidR="00567951" w:rsidRPr="00567951">
        <w:rPr>
          <w:rFonts w:eastAsia="Times New Roman"/>
          <w:lang w:eastAsia="ru-RU"/>
        </w:rPr>
        <w:t>.</w:t>
      </w:r>
    </w:p>
    <w:p w14:paraId="43D96D53" w14:textId="77777777" w:rsidR="009D57FF" w:rsidRPr="0052573E" w:rsidRDefault="009D57FF" w:rsidP="00925FA4">
      <w:pPr>
        <w:jc w:val="both"/>
        <w:rPr>
          <w:rFonts w:eastAsia="SimSun"/>
          <w:kern w:val="2"/>
          <w:lang w:bidi="hi-IN"/>
        </w:rPr>
      </w:pPr>
      <w:r w:rsidRPr="0052573E">
        <w:t>3. Информация об участниках отбора, заявки которых были отклонены; о размере предоставляемой субсидии: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4069"/>
        <w:gridCol w:w="1835"/>
        <w:gridCol w:w="2842"/>
      </w:tblGrid>
      <w:tr w:rsidR="00567951" w:rsidRPr="001C701C" w14:paraId="2C5F51FE" w14:textId="77777777" w:rsidTr="00C01237">
        <w:trPr>
          <w:trHeight w:val="1275"/>
        </w:trPr>
        <w:tc>
          <w:tcPr>
            <w:tcW w:w="888" w:type="dxa"/>
            <w:noWrap/>
            <w:vAlign w:val="center"/>
            <w:hideMark/>
          </w:tcPr>
          <w:p w14:paraId="4EB652FB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069" w:type="dxa"/>
            <w:vAlign w:val="center"/>
            <w:hideMark/>
          </w:tcPr>
          <w:p w14:paraId="439A533B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Наименование организации</w:t>
            </w:r>
          </w:p>
        </w:tc>
        <w:tc>
          <w:tcPr>
            <w:tcW w:w="1835" w:type="dxa"/>
            <w:vAlign w:val="center"/>
            <w:hideMark/>
          </w:tcPr>
          <w:p w14:paraId="1277D56E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Размер предоставляемой субсидии, руб.</w:t>
            </w:r>
          </w:p>
        </w:tc>
        <w:tc>
          <w:tcPr>
            <w:tcW w:w="2842" w:type="dxa"/>
            <w:vAlign w:val="center"/>
            <w:hideMark/>
          </w:tcPr>
          <w:p w14:paraId="1A438C05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Примечание / причина отказа</w:t>
            </w:r>
          </w:p>
        </w:tc>
      </w:tr>
      <w:tr w:rsidR="00567951" w:rsidRPr="001C701C" w14:paraId="0E2EDA26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5FD93D43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69" w:type="dxa"/>
            <w:vAlign w:val="center"/>
            <w:hideMark/>
          </w:tcPr>
          <w:p w14:paraId="2C1011D3" w14:textId="48900EA9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proofErr w:type="spellStart"/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Рекадро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7F88A75C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Отклонено</w:t>
            </w:r>
          </w:p>
        </w:tc>
        <w:tc>
          <w:tcPr>
            <w:tcW w:w="2842" w:type="dxa"/>
            <w:noWrap/>
            <w:vAlign w:val="center"/>
            <w:hideMark/>
          </w:tcPr>
          <w:p w14:paraId="38898137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Несоответствие представленных затрат направлению субсидии</w:t>
            </w: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0525C8BB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36739C00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69" w:type="dxa"/>
            <w:vAlign w:val="center"/>
            <w:hideMark/>
          </w:tcPr>
          <w:p w14:paraId="0C348EAF" w14:textId="695DB798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ЭРГА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57528B84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100 000,0 </w:t>
            </w:r>
          </w:p>
        </w:tc>
        <w:tc>
          <w:tcPr>
            <w:tcW w:w="2842" w:type="dxa"/>
            <w:noWrap/>
            <w:vAlign w:val="center"/>
            <w:hideMark/>
          </w:tcPr>
          <w:p w14:paraId="14BF2CC9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379144C9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159259C5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069" w:type="dxa"/>
            <w:vAlign w:val="center"/>
            <w:hideMark/>
          </w:tcPr>
          <w:p w14:paraId="2A8A9802" w14:textId="383C7317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ГЕРКУЛЕС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21F65C78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100 000,0 </w:t>
            </w:r>
          </w:p>
        </w:tc>
        <w:tc>
          <w:tcPr>
            <w:tcW w:w="2842" w:type="dxa"/>
            <w:noWrap/>
            <w:vAlign w:val="center"/>
            <w:hideMark/>
          </w:tcPr>
          <w:p w14:paraId="034635F9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6AA4D2A5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5B0896C1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69" w:type="dxa"/>
            <w:vAlign w:val="center"/>
            <w:hideMark/>
          </w:tcPr>
          <w:p w14:paraId="738C62BF" w14:textId="58CF2ED9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Губанова Анна Владимировна</w:t>
            </w:r>
          </w:p>
        </w:tc>
        <w:tc>
          <w:tcPr>
            <w:tcW w:w="1835" w:type="dxa"/>
            <w:noWrap/>
            <w:vAlign w:val="center"/>
            <w:hideMark/>
          </w:tcPr>
          <w:p w14:paraId="6BB52428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200 000,0 </w:t>
            </w:r>
          </w:p>
        </w:tc>
        <w:tc>
          <w:tcPr>
            <w:tcW w:w="2842" w:type="dxa"/>
            <w:noWrap/>
            <w:vAlign w:val="center"/>
            <w:hideMark/>
          </w:tcPr>
          <w:p w14:paraId="1F390C97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7F0B52D8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50320352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69" w:type="dxa"/>
            <w:vAlign w:val="center"/>
            <w:hideMark/>
          </w:tcPr>
          <w:p w14:paraId="29B6328A" w14:textId="3B92557D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Ушаков Никита Александрович</w:t>
            </w:r>
          </w:p>
        </w:tc>
        <w:tc>
          <w:tcPr>
            <w:tcW w:w="1835" w:type="dxa"/>
            <w:noWrap/>
            <w:vAlign w:val="center"/>
            <w:hideMark/>
          </w:tcPr>
          <w:p w14:paraId="4DBD9220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200 000,0 </w:t>
            </w:r>
          </w:p>
        </w:tc>
        <w:tc>
          <w:tcPr>
            <w:tcW w:w="2842" w:type="dxa"/>
            <w:noWrap/>
            <w:vAlign w:val="center"/>
            <w:hideMark/>
          </w:tcPr>
          <w:p w14:paraId="7C9BC617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767B2379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70761749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069" w:type="dxa"/>
            <w:vAlign w:val="center"/>
            <w:hideMark/>
          </w:tcPr>
          <w:p w14:paraId="7D683E3B" w14:textId="711551CA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ДФС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2328613C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200 000,0 </w:t>
            </w:r>
          </w:p>
        </w:tc>
        <w:tc>
          <w:tcPr>
            <w:tcW w:w="2842" w:type="dxa"/>
            <w:noWrap/>
            <w:vAlign w:val="center"/>
            <w:hideMark/>
          </w:tcPr>
          <w:p w14:paraId="5F2701C1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1D3D0F56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6D0CDB68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69" w:type="dxa"/>
            <w:vAlign w:val="center"/>
            <w:hideMark/>
          </w:tcPr>
          <w:p w14:paraId="214A07C4" w14:textId="5A7AFA90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 xml:space="preserve">СЦ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КАТЕК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30189BBB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3B1B313F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7A063EC0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4A821ABA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069" w:type="dxa"/>
            <w:vAlign w:val="center"/>
            <w:hideMark/>
          </w:tcPr>
          <w:p w14:paraId="7C482C28" w14:textId="6E0609F7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 xml:space="preserve">НПФ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МЕГА-К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77D2EB85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71A24A38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10840DFE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5CA2480E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069" w:type="dxa"/>
            <w:vAlign w:val="center"/>
            <w:hideMark/>
          </w:tcPr>
          <w:p w14:paraId="58B3281C" w14:textId="77BCA428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ЭРГА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6C16B101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3D9176B7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6D0FEACC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35199600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069" w:type="dxa"/>
            <w:vAlign w:val="center"/>
            <w:hideMark/>
          </w:tcPr>
          <w:p w14:paraId="319C57D7" w14:textId="5E92AF96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Алёхин Константин Станиславович</w:t>
            </w:r>
          </w:p>
        </w:tc>
        <w:tc>
          <w:tcPr>
            <w:tcW w:w="1835" w:type="dxa"/>
            <w:noWrap/>
            <w:vAlign w:val="center"/>
            <w:hideMark/>
          </w:tcPr>
          <w:p w14:paraId="55E2A4C7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72D83FAE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2186BAD9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16AF863A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069" w:type="dxa"/>
            <w:vAlign w:val="center"/>
            <w:hideMark/>
          </w:tcPr>
          <w:p w14:paraId="66BD2B1F" w14:textId="65619A26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proofErr w:type="spellStart"/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Технопром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022C2C1E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73A524EE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29CF19D0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48BACF1A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069" w:type="dxa"/>
            <w:vAlign w:val="center"/>
            <w:hideMark/>
          </w:tcPr>
          <w:p w14:paraId="41A80218" w14:textId="53D96D22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Харин Сергей Михайлович</w:t>
            </w:r>
          </w:p>
        </w:tc>
        <w:tc>
          <w:tcPr>
            <w:tcW w:w="1835" w:type="dxa"/>
            <w:noWrap/>
            <w:vAlign w:val="center"/>
            <w:hideMark/>
          </w:tcPr>
          <w:p w14:paraId="656530E7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Отклонено</w:t>
            </w:r>
          </w:p>
        </w:tc>
        <w:tc>
          <w:tcPr>
            <w:tcW w:w="2842" w:type="dxa"/>
            <w:noWrap/>
            <w:vAlign w:val="bottom"/>
            <w:hideMark/>
          </w:tcPr>
          <w:p w14:paraId="7611F41E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Несоответствие участника отбора требованиям, установленным п.2.6 Положения (на момент подачи заявки на предоставление субсидии имелась задолженность </w:t>
            </w:r>
            <w:r w:rsidRPr="001C701C">
              <w:rPr>
                <w:sz w:val="22"/>
                <w:szCs w:val="22"/>
              </w:rPr>
              <w:t>по уплате налогов, сборов и страховых взносов</w:t>
            </w: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</w:tr>
      <w:tr w:rsidR="00567951" w:rsidRPr="001C701C" w14:paraId="1AAAFB0C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091DFE3B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069" w:type="dxa"/>
            <w:vAlign w:val="center"/>
            <w:hideMark/>
          </w:tcPr>
          <w:p w14:paraId="5EAEE3B7" w14:textId="4C973BBA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Иванов Андрей Львович</w:t>
            </w:r>
          </w:p>
        </w:tc>
        <w:tc>
          <w:tcPr>
            <w:tcW w:w="1835" w:type="dxa"/>
            <w:noWrap/>
            <w:vAlign w:val="center"/>
            <w:hideMark/>
          </w:tcPr>
          <w:p w14:paraId="7662CBDA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239 928,0 </w:t>
            </w:r>
          </w:p>
        </w:tc>
        <w:tc>
          <w:tcPr>
            <w:tcW w:w="2842" w:type="dxa"/>
            <w:noWrap/>
            <w:vAlign w:val="center"/>
            <w:hideMark/>
          </w:tcPr>
          <w:p w14:paraId="47336B5F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35570E37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2C6DC58A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069" w:type="dxa"/>
            <w:vAlign w:val="center"/>
            <w:hideMark/>
          </w:tcPr>
          <w:p w14:paraId="0A40123B" w14:textId="51A1A1B7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Ерошина Оксана Владимировна</w:t>
            </w:r>
          </w:p>
        </w:tc>
        <w:tc>
          <w:tcPr>
            <w:tcW w:w="1835" w:type="dxa"/>
            <w:noWrap/>
            <w:vAlign w:val="center"/>
            <w:hideMark/>
          </w:tcPr>
          <w:p w14:paraId="570825C4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6E9DC337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479675F5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67C929EC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069" w:type="dxa"/>
            <w:vAlign w:val="center"/>
            <w:hideMark/>
          </w:tcPr>
          <w:p w14:paraId="2B5A29B0" w14:textId="7D253AFE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Антипин Леонид Николаевич</w:t>
            </w:r>
          </w:p>
        </w:tc>
        <w:tc>
          <w:tcPr>
            <w:tcW w:w="1835" w:type="dxa"/>
            <w:noWrap/>
            <w:vAlign w:val="center"/>
            <w:hideMark/>
          </w:tcPr>
          <w:p w14:paraId="3CFE0E71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Отклонено</w:t>
            </w:r>
          </w:p>
        </w:tc>
        <w:tc>
          <w:tcPr>
            <w:tcW w:w="2842" w:type="dxa"/>
            <w:noWrap/>
            <w:vAlign w:val="center"/>
            <w:hideMark/>
          </w:tcPr>
          <w:p w14:paraId="797CE628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Несоответствие представленных затрат направлению субсидии</w:t>
            </w: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 </w:t>
            </w:r>
          </w:p>
        </w:tc>
      </w:tr>
      <w:tr w:rsidR="00567951" w:rsidRPr="001C701C" w14:paraId="009C86A6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7238015B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069" w:type="dxa"/>
            <w:vAlign w:val="center"/>
            <w:hideMark/>
          </w:tcPr>
          <w:p w14:paraId="6998F997" w14:textId="158B6EE6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Якунин Алексей Викторович</w:t>
            </w:r>
          </w:p>
        </w:tc>
        <w:tc>
          <w:tcPr>
            <w:tcW w:w="1835" w:type="dxa"/>
            <w:noWrap/>
            <w:vAlign w:val="center"/>
            <w:hideMark/>
          </w:tcPr>
          <w:p w14:paraId="2CAC07AC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5EAF27F3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60D36A9E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0FE63AF7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069" w:type="dxa"/>
            <w:vAlign w:val="center"/>
            <w:hideMark/>
          </w:tcPr>
          <w:p w14:paraId="0E70D31A" w14:textId="410B86C7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МКТУЛС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195F425C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76817E33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60481F73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29AE09D7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069" w:type="dxa"/>
            <w:vAlign w:val="center"/>
            <w:hideMark/>
          </w:tcPr>
          <w:p w14:paraId="14BC39CD" w14:textId="5A2EFD63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 xml:space="preserve">ГК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ЗНАКЪ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140225E6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3174936A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64D27343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49EB65BB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069" w:type="dxa"/>
            <w:vAlign w:val="center"/>
            <w:hideMark/>
          </w:tcPr>
          <w:p w14:paraId="66AA8070" w14:textId="678729FB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Чумаков Михаил Сергеевич</w:t>
            </w:r>
          </w:p>
        </w:tc>
        <w:tc>
          <w:tcPr>
            <w:tcW w:w="1835" w:type="dxa"/>
            <w:noWrap/>
            <w:vAlign w:val="center"/>
            <w:hideMark/>
          </w:tcPr>
          <w:p w14:paraId="360E29CC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58663A2B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7931312B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789CC3E7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069" w:type="dxa"/>
            <w:vAlign w:val="center"/>
            <w:hideMark/>
          </w:tcPr>
          <w:p w14:paraId="31146AB5" w14:textId="2905C394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proofErr w:type="spellStart"/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Сакаев</w:t>
            </w:r>
            <w:proofErr w:type="spellEnd"/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 xml:space="preserve"> Владислав </w:t>
            </w:r>
            <w:proofErr w:type="spellStart"/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Ринатович</w:t>
            </w:r>
            <w:proofErr w:type="spellEnd"/>
          </w:p>
        </w:tc>
        <w:tc>
          <w:tcPr>
            <w:tcW w:w="1835" w:type="dxa"/>
            <w:noWrap/>
            <w:vAlign w:val="center"/>
            <w:hideMark/>
          </w:tcPr>
          <w:p w14:paraId="774E69E8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1641E66A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52BC5F21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6F383574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069" w:type="dxa"/>
            <w:vAlign w:val="center"/>
            <w:hideMark/>
          </w:tcPr>
          <w:p w14:paraId="5A67A6A3" w14:textId="56ECB9F3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13 ЭЛЕМЕНТ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5570B306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5F90D807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27A9F64D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1F9A65FC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069" w:type="dxa"/>
            <w:vAlign w:val="center"/>
            <w:hideMark/>
          </w:tcPr>
          <w:p w14:paraId="014724BB" w14:textId="5952F09E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С.Б.С.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2158C58B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283 180,0 </w:t>
            </w:r>
          </w:p>
        </w:tc>
        <w:tc>
          <w:tcPr>
            <w:tcW w:w="2842" w:type="dxa"/>
            <w:noWrap/>
            <w:vAlign w:val="center"/>
            <w:hideMark/>
          </w:tcPr>
          <w:p w14:paraId="659F3465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1FAF338D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3E5A9D79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069" w:type="dxa"/>
            <w:vAlign w:val="center"/>
            <w:hideMark/>
          </w:tcPr>
          <w:p w14:paraId="3557F8F5" w14:textId="5411CA09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ВСЕ ДВЕРИ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0AF6AC38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Отклонено</w:t>
            </w:r>
          </w:p>
        </w:tc>
        <w:tc>
          <w:tcPr>
            <w:tcW w:w="2842" w:type="dxa"/>
            <w:noWrap/>
            <w:vAlign w:val="bottom"/>
            <w:hideMark/>
          </w:tcPr>
          <w:p w14:paraId="34399252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Несоответствие участника отбора требованиям, установленным п.2.6 Положения (на момент подачи заявки на предоставление субсидии имелась задолженность </w:t>
            </w:r>
            <w:r w:rsidRPr="001C701C">
              <w:rPr>
                <w:sz w:val="22"/>
                <w:szCs w:val="22"/>
              </w:rPr>
              <w:t>по уплате налогов, сборов и страховых взносов</w:t>
            </w:r>
            <w:r w:rsidRPr="001C701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</w:tr>
      <w:tr w:rsidR="00567951" w:rsidRPr="001C701C" w14:paraId="140814D1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1F5960F2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069" w:type="dxa"/>
            <w:vAlign w:val="center"/>
            <w:hideMark/>
          </w:tcPr>
          <w:p w14:paraId="42E8EAA6" w14:textId="1B176C7F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Клюшкин Анатолий Анатольевич</w:t>
            </w:r>
          </w:p>
        </w:tc>
        <w:tc>
          <w:tcPr>
            <w:tcW w:w="1835" w:type="dxa"/>
            <w:noWrap/>
            <w:vAlign w:val="center"/>
            <w:hideMark/>
          </w:tcPr>
          <w:p w14:paraId="7C7EA7C3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21F6CC4B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7C09D22B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151358EA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069" w:type="dxa"/>
            <w:vAlign w:val="center"/>
            <w:hideMark/>
          </w:tcPr>
          <w:p w14:paraId="2246CB52" w14:textId="6386749F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 xml:space="preserve">КРПЗ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Морепродукты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10F2D91E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283 168,0 </w:t>
            </w:r>
          </w:p>
        </w:tc>
        <w:tc>
          <w:tcPr>
            <w:tcW w:w="2842" w:type="dxa"/>
            <w:noWrap/>
            <w:vAlign w:val="center"/>
            <w:hideMark/>
          </w:tcPr>
          <w:p w14:paraId="4F7FFC95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11D1FAA9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1FD0A6FF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069" w:type="dxa"/>
            <w:vAlign w:val="center"/>
            <w:hideMark/>
          </w:tcPr>
          <w:p w14:paraId="22A3435B" w14:textId="4F9B730F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ИП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Тарасенко Олеся Юрьевна</w:t>
            </w:r>
          </w:p>
        </w:tc>
        <w:tc>
          <w:tcPr>
            <w:tcW w:w="1835" w:type="dxa"/>
            <w:noWrap/>
            <w:vAlign w:val="center"/>
            <w:hideMark/>
          </w:tcPr>
          <w:p w14:paraId="6C5BAECE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34 740,0 </w:t>
            </w:r>
          </w:p>
        </w:tc>
        <w:tc>
          <w:tcPr>
            <w:tcW w:w="2842" w:type="dxa"/>
            <w:noWrap/>
            <w:vAlign w:val="center"/>
            <w:hideMark/>
          </w:tcPr>
          <w:p w14:paraId="144E103F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01F36F3F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3F89DA98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069" w:type="dxa"/>
            <w:vAlign w:val="center"/>
            <w:hideMark/>
          </w:tcPr>
          <w:p w14:paraId="2693D1B6" w14:textId="5DE3CC68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ЭТЗ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0FE0FA74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63 910,0 </w:t>
            </w:r>
          </w:p>
        </w:tc>
        <w:tc>
          <w:tcPr>
            <w:tcW w:w="2842" w:type="dxa"/>
            <w:noWrap/>
            <w:vAlign w:val="center"/>
            <w:hideMark/>
          </w:tcPr>
          <w:p w14:paraId="44F4E49F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127D66F9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72FF824D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069" w:type="dxa"/>
            <w:vAlign w:val="center"/>
            <w:hideMark/>
          </w:tcPr>
          <w:p w14:paraId="4F36A994" w14:textId="4B32AD57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КАМИН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7F146901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63 910,0 </w:t>
            </w:r>
          </w:p>
        </w:tc>
        <w:tc>
          <w:tcPr>
            <w:tcW w:w="2842" w:type="dxa"/>
            <w:noWrap/>
            <w:vAlign w:val="center"/>
            <w:hideMark/>
          </w:tcPr>
          <w:p w14:paraId="4D0D4E30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20C36E84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6FE428A2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069" w:type="dxa"/>
            <w:vAlign w:val="center"/>
            <w:hideMark/>
          </w:tcPr>
          <w:p w14:paraId="1EF7C850" w14:textId="5407A415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 xml:space="preserve">Медицинская клиника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proofErr w:type="spellStart"/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СемьЯ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22CC6979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53 750,0 </w:t>
            </w:r>
          </w:p>
        </w:tc>
        <w:tc>
          <w:tcPr>
            <w:tcW w:w="2842" w:type="dxa"/>
            <w:noWrap/>
            <w:vAlign w:val="center"/>
            <w:hideMark/>
          </w:tcPr>
          <w:p w14:paraId="16F71A94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66DCAF58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04739420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069" w:type="dxa"/>
            <w:vAlign w:val="center"/>
            <w:hideMark/>
          </w:tcPr>
          <w:p w14:paraId="61063EC1" w14:textId="4CEA1117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«</w:t>
            </w:r>
            <w:proofErr w:type="spellStart"/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ТехПромСервис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47A2559E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60 350,0 </w:t>
            </w:r>
          </w:p>
        </w:tc>
        <w:tc>
          <w:tcPr>
            <w:tcW w:w="2842" w:type="dxa"/>
            <w:noWrap/>
            <w:vAlign w:val="center"/>
            <w:hideMark/>
          </w:tcPr>
          <w:p w14:paraId="39BB70A1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567951" w:rsidRPr="001C701C" w14:paraId="3096D7A7" w14:textId="77777777" w:rsidTr="00C01237">
        <w:trPr>
          <w:trHeight w:val="255"/>
        </w:trPr>
        <w:tc>
          <w:tcPr>
            <w:tcW w:w="888" w:type="dxa"/>
            <w:noWrap/>
            <w:vAlign w:val="center"/>
            <w:hideMark/>
          </w:tcPr>
          <w:p w14:paraId="3B3FC186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069" w:type="dxa"/>
            <w:vAlign w:val="center"/>
            <w:hideMark/>
          </w:tcPr>
          <w:p w14:paraId="17F00381" w14:textId="3B491419" w:rsidR="00567951" w:rsidRPr="001C701C" w:rsidRDefault="00BD3418" w:rsidP="0055338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ООО </w:t>
            </w:r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 xml:space="preserve">Фирма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«</w:t>
            </w:r>
            <w:proofErr w:type="spellStart"/>
            <w:r w:rsidR="00567951" w:rsidRPr="001C701C">
              <w:rPr>
                <w:rFonts w:eastAsia="Times New Roman"/>
                <w:sz w:val="22"/>
                <w:szCs w:val="22"/>
                <w:lang w:eastAsia="ru-RU"/>
              </w:rPr>
              <w:t>Экоаналитика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35" w:type="dxa"/>
            <w:noWrap/>
            <w:vAlign w:val="center"/>
            <w:hideMark/>
          </w:tcPr>
          <w:p w14:paraId="6DC32CD3" w14:textId="77777777" w:rsidR="00567951" w:rsidRPr="001C701C" w:rsidRDefault="00567951" w:rsidP="005533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58 080,0 </w:t>
            </w:r>
          </w:p>
        </w:tc>
        <w:tc>
          <w:tcPr>
            <w:tcW w:w="2842" w:type="dxa"/>
            <w:noWrap/>
            <w:vAlign w:val="center"/>
            <w:hideMark/>
          </w:tcPr>
          <w:p w14:paraId="739B86FF" w14:textId="77777777" w:rsidR="00567951" w:rsidRPr="001C701C" w:rsidRDefault="00567951" w:rsidP="005533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C701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14:paraId="38EE9891" w14:textId="77777777" w:rsidR="009D57FF" w:rsidRPr="0052573E" w:rsidRDefault="009D57FF"/>
    <w:sectPr w:rsidR="009D57FF" w:rsidRPr="0052573E" w:rsidSect="00832C7A">
      <w:headerReference w:type="default" r:id="rId7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5E16" w14:textId="77777777" w:rsidR="00832C7A" w:rsidRDefault="00832C7A" w:rsidP="00832C7A">
      <w:pPr>
        <w:spacing w:after="0" w:line="240" w:lineRule="auto"/>
      </w:pPr>
      <w:r>
        <w:separator/>
      </w:r>
    </w:p>
  </w:endnote>
  <w:endnote w:type="continuationSeparator" w:id="0">
    <w:p w14:paraId="20AA8B0E" w14:textId="77777777" w:rsidR="00832C7A" w:rsidRDefault="00832C7A" w:rsidP="0083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3412" w14:textId="77777777" w:rsidR="00832C7A" w:rsidRDefault="00832C7A" w:rsidP="00832C7A">
      <w:pPr>
        <w:spacing w:after="0" w:line="240" w:lineRule="auto"/>
      </w:pPr>
      <w:r>
        <w:separator/>
      </w:r>
    </w:p>
  </w:footnote>
  <w:footnote w:type="continuationSeparator" w:id="0">
    <w:p w14:paraId="1C331C9D" w14:textId="77777777" w:rsidR="00832C7A" w:rsidRDefault="00832C7A" w:rsidP="0083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624538"/>
      <w:docPartObj>
        <w:docPartGallery w:val="Page Numbers (Top of Page)"/>
        <w:docPartUnique/>
      </w:docPartObj>
    </w:sdtPr>
    <w:sdtEndPr/>
    <w:sdtContent>
      <w:p w14:paraId="67E5C73D" w14:textId="77777777" w:rsidR="00832C7A" w:rsidRDefault="00832C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53C9" w14:textId="77777777" w:rsidR="00832C7A" w:rsidRDefault="00832C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F7942"/>
    <w:multiLevelType w:val="hybridMultilevel"/>
    <w:tmpl w:val="57EE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DD"/>
    <w:rsid w:val="000845D3"/>
    <w:rsid w:val="000E7DC7"/>
    <w:rsid w:val="003161F6"/>
    <w:rsid w:val="003756C0"/>
    <w:rsid w:val="0052573E"/>
    <w:rsid w:val="0055259B"/>
    <w:rsid w:val="00567951"/>
    <w:rsid w:val="00676591"/>
    <w:rsid w:val="006A0FC3"/>
    <w:rsid w:val="00832C7A"/>
    <w:rsid w:val="008531BB"/>
    <w:rsid w:val="0089386B"/>
    <w:rsid w:val="00910CDE"/>
    <w:rsid w:val="00925FA4"/>
    <w:rsid w:val="009D57FF"/>
    <w:rsid w:val="00AD0D40"/>
    <w:rsid w:val="00BD3418"/>
    <w:rsid w:val="00C01237"/>
    <w:rsid w:val="00CC0DDD"/>
    <w:rsid w:val="00D5576A"/>
    <w:rsid w:val="00D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E0C4"/>
  <w15:chartTrackingRefBased/>
  <w15:docId w15:val="{A0261EF6-0C6C-4D62-AD93-7CF97BFA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7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2C7A"/>
  </w:style>
  <w:style w:type="paragraph" w:styleId="a6">
    <w:name w:val="footer"/>
    <w:basedOn w:val="a"/>
    <w:link w:val="a7"/>
    <w:uiPriority w:val="99"/>
    <w:unhideWhenUsed/>
    <w:rsid w:val="0083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Киселев Андрей Петрович</cp:lastModifiedBy>
  <cp:revision>6</cp:revision>
  <dcterms:created xsi:type="dcterms:W3CDTF">2025-12-11T08:27:00Z</dcterms:created>
  <dcterms:modified xsi:type="dcterms:W3CDTF">2025-12-11T08:39:00Z</dcterms:modified>
</cp:coreProperties>
</file>