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ПРОТОКОЛ ОБЩЕСТВЕННЫХ СЛУШАНИЙ 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№1 от 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>22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>.0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>6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.2023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ab/>
        <w:t xml:space="preserve">Объект общественных обсуждений: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>предварительны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>е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 xml:space="preserve"> материал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>ы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>, обосновывающи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>е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 xml:space="preserve"> лимиты и квоты добычи охотничьих ресурсов в сезоне охоты 2023-2024 годов, включая предварительные материалы оценки воздействия на окружающую среду на территории </w:t>
      </w:r>
      <w:r>
        <w:rPr>
          <w:rStyle w:val="Style20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муниципального образования «Город Калуга»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u w:val="none"/>
        </w:rPr>
      </w:pPr>
      <w:r>
        <w:rPr/>
      </w:r>
    </w:p>
    <w:p>
      <w:pPr>
        <w:pStyle w:val="Normal"/>
        <w:spacing w:before="0" w:after="0"/>
        <w:jc w:val="center"/>
        <w:rPr/>
      </w:pPr>
      <w:r>
        <w:rPr>
          <w:rFonts w:cs="Times New Roman"/>
        </w:rPr>
        <w:tab/>
      </w:r>
      <w:r>
        <w:rPr>
          <w:rFonts w:cs="Times New Roman" w:ascii="Times New Roman" w:hAnsi="Times New Roman"/>
          <w:b/>
          <w:bCs/>
          <w:sz w:val="24"/>
          <w:szCs w:val="24"/>
        </w:rPr>
        <w:t>Способ информирования: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ascii="Times New Roman" w:hAnsi="Times New Roman" w:eastAsiaTheme="minorHAnsi"/>
          <w:sz w:val="24"/>
          <w:szCs w:val="24"/>
        </w:rPr>
        <w:tab/>
        <w:t xml:space="preserve">Общественные обсуждения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>предварительны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>х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 xml:space="preserve"> материал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>ов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>, обосновывающи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>х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 xml:space="preserve"> лимиты и квоты добычи охотничьих ресурсов в сезоне охоты 2023-2024 годов, включая предварительные материалы оценки возде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 xml:space="preserve">йствия на окружающую среду на территории </w:t>
      </w:r>
      <w:r>
        <w:rPr>
          <w:rStyle w:val="Style20"/>
          <w:rFonts w:eastAsia="Calibri" w:cs="Times New Roman" w:ascii="Times New Roman" w:hAnsi="Times New Roman" w:eastAsiaTheme="minorHAnsi"/>
          <w:b w:val="false"/>
          <w:bCs w:val="false"/>
          <w:sz w:val="24"/>
          <w:szCs w:val="24"/>
          <w:u w:val="none"/>
        </w:rPr>
        <w:t>муниципального образования «Город Калуга»</w:t>
      </w:r>
      <w:r>
        <w:rPr>
          <w:rFonts w:eastAsia="Calibri" w:ascii="Times New Roman" w:hAnsi="Times New Roman" w:eastAsiaTheme="minorHAnsi"/>
          <w:sz w:val="24"/>
          <w:szCs w:val="24"/>
        </w:rPr>
        <w:t xml:space="preserve"> назначены постановлением Городской Управой города Калуги от </w:t>
      </w:r>
      <w:r>
        <w:rPr>
          <w:rFonts w:eastAsia="Calibri" w:ascii="Times New Roman" w:hAnsi="Times New Roman" w:eastAsiaTheme="minorHAnsi"/>
          <w:sz w:val="24"/>
          <w:szCs w:val="24"/>
        </w:rPr>
        <w:t>29</w:t>
      </w:r>
      <w:r>
        <w:rPr>
          <w:rFonts w:eastAsia="Calibri" w:ascii="Times New Roman" w:hAnsi="Times New Roman" w:eastAsiaTheme="minorHAnsi"/>
          <w:sz w:val="24"/>
          <w:szCs w:val="24"/>
        </w:rPr>
        <w:t>.0</w:t>
      </w:r>
      <w:r>
        <w:rPr>
          <w:rFonts w:eastAsia="Calibri" w:ascii="Times New Roman" w:hAnsi="Times New Roman" w:eastAsiaTheme="minorHAnsi"/>
          <w:b w:val="false"/>
          <w:bCs w:val="false"/>
          <w:sz w:val="24"/>
          <w:szCs w:val="24"/>
        </w:rPr>
        <w:t>5</w:t>
      </w:r>
      <w:r>
        <w:rPr>
          <w:rFonts w:eastAsia="Calibri" w:ascii="Times New Roman" w:hAnsi="Times New Roman" w:eastAsiaTheme="minorHAnsi"/>
          <w:b w:val="false"/>
          <w:bCs w:val="false"/>
          <w:sz w:val="24"/>
          <w:szCs w:val="24"/>
        </w:rPr>
        <w:t>.2023 № 1</w:t>
      </w:r>
      <w:r>
        <w:rPr>
          <w:rFonts w:eastAsia="Calibri" w:ascii="Times New Roman" w:hAnsi="Times New Roman" w:eastAsiaTheme="minorHAnsi"/>
          <w:b w:val="false"/>
          <w:bCs w:val="false"/>
          <w:sz w:val="24"/>
          <w:szCs w:val="24"/>
        </w:rPr>
        <w:t>81</w:t>
      </w:r>
      <w:r>
        <w:rPr>
          <w:rFonts w:eastAsia="Calibri" w:ascii="Times New Roman" w:hAnsi="Times New Roman" w:eastAsiaTheme="minorHAnsi"/>
          <w:b w:val="false"/>
          <w:bCs w:val="false"/>
          <w:sz w:val="24"/>
          <w:szCs w:val="24"/>
        </w:rPr>
        <w:t>-п «</w:t>
      </w:r>
      <w:r>
        <w:rPr>
          <w:rFonts w:eastAsia="Calibri" w:cs="Times New Roman" w:ascii="Times New Roman" w:hAnsi="Times New Roman" w:eastAsiaTheme="minorHAnsi"/>
          <w:b w:val="false"/>
          <w:bCs w:val="false"/>
          <w:sz w:val="24"/>
          <w:szCs w:val="24"/>
        </w:rPr>
        <w:t xml:space="preserve">О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назначении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общественных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обсуждений </w:t>
      </w:r>
      <w:r>
        <w:rPr>
          <w:rFonts w:eastAsia="Calibri" w:ascii="Times New Roman" w:hAnsi="Times New Roman"/>
          <w:b w:val="false"/>
          <w:bCs w:val="false"/>
          <w:sz w:val="24"/>
          <w:szCs w:val="24"/>
          <w:lang w:eastAsia="ru-RU"/>
        </w:rPr>
        <w:t xml:space="preserve">объекта экологической экспертизы - предварительных материалов, обосновывающих лимиты и квоты добычи охотничьих ресурсов в сезоне охоты 2023-2024 годов, включая предварительные материалы оценки воздействия на окружающую среду, на территории </w:t>
      </w:r>
      <w:r>
        <w:rPr>
          <w:rStyle w:val="Strong"/>
          <w:rFonts w:eastAsia="Calibri" w:ascii="Times New Roman" w:hAnsi="Times New Roman"/>
          <w:b w:val="false"/>
          <w:bCs w:val="false"/>
          <w:sz w:val="24"/>
          <w:szCs w:val="24"/>
          <w:lang w:val="ru-RU" w:eastAsia="zh-CN" w:bidi="ar-SA"/>
        </w:rPr>
        <w:t>муниципального образования «Город Калуга»</w:t>
      </w:r>
      <w:r>
        <w:rPr>
          <w:rFonts w:eastAsia="Calibri" w:ascii="Times New Roman" w:hAnsi="Times New Roman" w:eastAsiaTheme="minorHAnsi"/>
          <w:b w:val="false"/>
          <w:bCs w:val="false"/>
          <w:sz w:val="24"/>
          <w:szCs w:val="24"/>
        </w:rPr>
        <w:t xml:space="preserve">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Уведомления о проведении общественных обсуждений не позднее чем за 3 дня до начала общественных обсуждений размещены: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ascii="Times New Roman" w:hAnsi="Times New Roman" w:eastAsiaTheme="minorHAnsi"/>
          <w:sz w:val="24"/>
          <w:szCs w:val="24"/>
        </w:rPr>
        <w:tab/>
        <w:t xml:space="preserve">• на официальном сайте Городской управы города Калуги по электронному адресу: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ascii="Times New Roman" w:hAnsi="Times New Roman" w:eastAsiaTheme="minorHAnsi"/>
          <w:sz w:val="24"/>
          <w:szCs w:val="24"/>
        </w:rPr>
        <w:t>/https://www.kaluga-gov.ru/infrastruktura/okhrana-okruzhayushchey-sredy/obshchestvennye-obsuzhdeniya/;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ascii="Times New Roman" w:hAnsi="Times New Roman" w:eastAsiaTheme="minorHAnsi"/>
          <w:sz w:val="24"/>
          <w:szCs w:val="24"/>
        </w:rPr>
        <w:tab/>
        <w:t>• на официальном сайте газеты Калужская неделя: https://nedelya40.ru/;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>• на официальном портале органов власти Калужской области Министерство природных ресурсов и экологии Калужской области;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• на официальном сайте межрегионального управления Росприроднадзора по г. Москве и Калужской области.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ascii="Times New Roman" w:hAnsi="Times New Roman" w:eastAsiaTheme="minorHAnsi"/>
          <w:b w:val="false"/>
          <w:bCs w:val="false"/>
          <w:sz w:val="24"/>
          <w:szCs w:val="24"/>
        </w:rPr>
        <w:tab/>
        <w:t xml:space="preserve">Также информация о проведении общественного обсуждения в форме общественных слушаний доведена до сведения общественности путем размещения уведомления на </w:t>
      </w:r>
      <w:r>
        <w:rPr>
          <w:rFonts w:eastAsia="Calibri" w:ascii="Times New Roman" w:hAnsi="Times New Roman" w:eastAsiaTheme="minorHAnsi"/>
          <w:b w:val="false"/>
          <w:bCs w:val="false"/>
          <w:color w:val="000000"/>
          <w:sz w:val="24"/>
          <w:szCs w:val="24"/>
        </w:rPr>
        <w:t>информационных стендах территориальных представительств управления по работе с населением на территориях города Калуги</w:t>
      </w:r>
      <w:r>
        <w:rPr>
          <w:rFonts w:eastAsia="Calibri" w:ascii="Times New Roman" w:hAnsi="Times New Roman" w:eastAsiaTheme="minorHAnsi"/>
          <w:b w:val="false"/>
          <w:bCs w:val="false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eastAsiaTheme="minorHAnsi"/>
          <w:b w:val="false"/>
          <w:b w:val="false"/>
          <w:bCs w:val="false"/>
        </w:rPr>
      </w:pPr>
      <w:r>
        <w:rPr>
          <w:rFonts w:eastAsia="Calibri" w:eastAsiaTheme="minorHAnsi" w:ascii="Times New Roman" w:hAnsi="Times New Roman"/>
          <w:b w:val="false"/>
          <w:bCs w:val="fals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ab/>
        <w:t xml:space="preserve">Место и сроки доступности для общественности </w:t>
      </w:r>
      <w:r>
        <w:rPr>
          <w:rStyle w:val="Strong"/>
          <w:rFonts w:eastAsia="Times New Roman" w:cs="Times New Roman" w:ascii="Times New Roman" w:hAnsi="Times New Roman"/>
          <w:b/>
          <w:bCs/>
          <w:sz w:val="24"/>
          <w:szCs w:val="24"/>
          <w:u w:val="none"/>
          <w:lang w:eastAsia="ru-RU"/>
        </w:rPr>
        <w:t>предварительны</w:t>
      </w:r>
      <w:r>
        <w:rPr>
          <w:rStyle w:val="Strong"/>
          <w:rFonts w:eastAsia="Times New Roman" w:cs="Times New Roman" w:ascii="Times New Roman" w:hAnsi="Times New Roman"/>
          <w:b/>
          <w:bCs/>
          <w:sz w:val="24"/>
          <w:szCs w:val="24"/>
          <w:u w:val="none"/>
          <w:lang w:eastAsia="ru-RU"/>
        </w:rPr>
        <w:t>х</w:t>
      </w:r>
      <w:r>
        <w:rPr>
          <w:rStyle w:val="Strong"/>
          <w:rFonts w:eastAsia="Times New Roman" w:cs="Times New Roman" w:ascii="Times New Roman" w:hAnsi="Times New Roman"/>
          <w:b/>
          <w:bCs/>
          <w:sz w:val="24"/>
          <w:szCs w:val="24"/>
          <w:u w:val="none"/>
          <w:lang w:eastAsia="ru-RU"/>
        </w:rPr>
        <w:t xml:space="preserve"> материал</w:t>
      </w:r>
      <w:r>
        <w:rPr>
          <w:rStyle w:val="Strong"/>
          <w:rFonts w:eastAsia="Times New Roman" w:cs="Times New Roman" w:ascii="Times New Roman" w:hAnsi="Times New Roman"/>
          <w:b/>
          <w:bCs/>
          <w:sz w:val="24"/>
          <w:szCs w:val="24"/>
          <w:u w:val="none"/>
          <w:lang w:eastAsia="ru-RU"/>
        </w:rPr>
        <w:t>ов</w:t>
      </w:r>
      <w:r>
        <w:rPr>
          <w:rStyle w:val="Strong"/>
          <w:rFonts w:eastAsia="Times New Roman" w:cs="Times New Roman" w:ascii="Times New Roman" w:hAnsi="Times New Roman"/>
          <w:b/>
          <w:bCs/>
          <w:sz w:val="24"/>
          <w:szCs w:val="24"/>
          <w:u w:val="none"/>
          <w:lang w:eastAsia="ru-RU"/>
        </w:rPr>
        <w:t>, обосновывающи</w:t>
      </w:r>
      <w:r>
        <w:rPr>
          <w:rStyle w:val="Strong"/>
          <w:rFonts w:eastAsia="Times New Roman" w:cs="Times New Roman" w:ascii="Times New Roman" w:hAnsi="Times New Roman"/>
          <w:b/>
          <w:bCs/>
          <w:sz w:val="24"/>
          <w:szCs w:val="24"/>
          <w:u w:val="none"/>
          <w:lang w:eastAsia="ru-RU"/>
        </w:rPr>
        <w:t>х</w:t>
      </w:r>
      <w:r>
        <w:rPr>
          <w:rStyle w:val="Strong"/>
          <w:rFonts w:eastAsia="Times New Roman" w:cs="Times New Roman" w:ascii="Times New Roman" w:hAnsi="Times New Roman"/>
          <w:b/>
          <w:bCs/>
          <w:sz w:val="24"/>
          <w:szCs w:val="24"/>
          <w:u w:val="none"/>
          <w:lang w:eastAsia="ru-RU"/>
        </w:rPr>
        <w:t xml:space="preserve"> лимиты и квоты добычи охотничьих ресурсов в сезоне охоты 2023-2024 годов, включая предварительные материалы оценки воздействия на окружающую среду на территории </w:t>
      </w:r>
      <w:r>
        <w:rPr>
          <w:rStyle w:val="Style20"/>
          <w:rFonts w:eastAsia="Calibri" w:cs="Times New Roman" w:ascii="Times New Roman" w:hAnsi="Times New Roman" w:eastAsiaTheme="minorHAnsi"/>
          <w:b/>
          <w:bCs/>
          <w:sz w:val="24"/>
          <w:szCs w:val="24"/>
          <w:u w:val="none"/>
        </w:rPr>
        <w:t>муниципального образования «Город Калуга»</w:t>
      </w: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 xml:space="preserve"> по объекту общественного обсуждения: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ab/>
        <w:t>Согласно постановлени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>я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 xml:space="preserve"> Городской Управы города Калуги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предварительны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е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 xml:space="preserve"> материал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ы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, обосновывающи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>е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eastAsia="ru-RU"/>
        </w:rPr>
        <w:t xml:space="preserve"> лимиты и квоты добычи охотничьих ресурсов в сезоне охоты 2023-2024 годов, включая предварительные материалы оценки воздействия на окружающую среду на территории </w:t>
      </w:r>
      <w:r>
        <w:rPr>
          <w:rStyle w:val="Style20"/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>муниципального образования «Город Калуга»</w:t>
      </w:r>
      <w:r>
        <w:rPr>
          <w:rStyle w:val="Strong"/>
          <w:rFonts w:eastAsia="Calibri" w:cs="Times New Roman" w:ascii="Times New Roman" w:hAnsi="Times New Roman" w:eastAsiaTheme="minorHAnsi"/>
          <w:b w:val="false"/>
          <w:bCs w:val="false"/>
          <w:color w:val="000000"/>
          <w:sz w:val="24"/>
          <w:szCs w:val="24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 xml:space="preserve"> доступны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 xml:space="preserve">с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en-US"/>
        </w:rPr>
        <w:t>02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en-US"/>
        </w:rPr>
        <w:t>.0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en-US"/>
        </w:rPr>
        <w:t>6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en-US"/>
        </w:rPr>
        <w:t>.2023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 xml:space="preserve">  по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en-US"/>
        </w:rPr>
        <w:t>02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en-US"/>
        </w:rPr>
        <w:t>.0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en-US"/>
        </w:rPr>
        <w:t>7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en-US"/>
        </w:rPr>
        <w:t>.2023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 xml:space="preserve">, с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понедельника по четверг с 15.00 до 17.00 и по пятницам с 15.00 до 16.0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 xml:space="preserve">5 час.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по адресу: г. Калуга, ул.Кутузова 2/1, флигель, 1 этаж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 xml:space="preserve">, суббота, воскресенье - выходные дни, тел.: +7(4842) 70-11-20,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</w:rPr>
        <w:t xml:space="preserve">а также на официальном сайте Городской Управы города Калуги: </w:t>
      </w:r>
      <w:hyperlink r:id="rId2">
        <w:r>
          <w:rPr>
            <w:rFonts w:eastAsia="Calibri" w:cs="Times New Roman" w:ascii="Times New Roman" w:hAnsi="Times New Roman"/>
            <w:b w:val="false"/>
            <w:bCs w:val="false"/>
            <w:color w:val="000000"/>
            <w:sz w:val="24"/>
            <w:szCs w:val="24"/>
            <w:u w:val="none"/>
          </w:rPr>
          <w:t>https://www.kaluga-gov.ru/</w:t>
        </w:r>
      </w:hyperlink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 w:val="false"/>
          <w:b w:val="false"/>
          <w:bCs w:val="false"/>
          <w:color w:val="000000"/>
          <w:u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u w:val="none"/>
          <w:shd w:fill="auto" w:val="clear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Дата, время и место проведения общественных слушаний: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Согласно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Постановлени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я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Городской Управой города Калуги </w:t>
      </w:r>
      <w:r>
        <w:rPr>
          <w:rStyle w:val="Strong"/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общественные слушания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>предварительны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>х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 xml:space="preserve"> материал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>ов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>, обосновывающи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>х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 xml:space="preserve"> лимиты и квоты добычи охотничьих ресурсов в сезоне охоты 2023-2024 годов, включая предварительные материалы оценки воздействия на окружающую среду на территории </w:t>
      </w:r>
      <w:r>
        <w:rPr>
          <w:rStyle w:val="Style20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муниципального образования «Город Калуга»</w:t>
      </w:r>
      <w:r>
        <w:rPr>
          <w:rStyle w:val="Strong"/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проведены </w:t>
      </w:r>
      <w:r>
        <w:rPr>
          <w:rStyle w:val="Strong"/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22</w:t>
      </w:r>
      <w:r>
        <w:rPr>
          <w:rStyle w:val="Strong"/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.0</w:t>
      </w:r>
      <w:r>
        <w:rPr>
          <w:rStyle w:val="Strong"/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6</w:t>
      </w:r>
      <w:r>
        <w:rPr>
          <w:rStyle w:val="Strong"/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.2023</w:t>
      </w:r>
      <w:r>
        <w:rPr>
          <w:rStyle w:val="Strong"/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в 10.00 час. в административном здании Городской Управы города Калуги по адресу: </w:t>
      </w:r>
      <w:r>
        <w:rPr>
          <w:rStyle w:val="Strong"/>
          <w:rFonts w:cs="Times New Roman"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г. Калуга, ул. Воробьевская, д. 3, каб. 104</w:t>
      </w:r>
      <w:r>
        <w:rPr>
          <w:rStyle w:val="Strong"/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Style w:val="Strong"/>
          <w:rFonts w:ascii="Times New Roman;serif" w:hAnsi="Times New Roman;serif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spacing w:lineRule="auto" w:line="240" w:before="0" w:after="143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u w:val="none"/>
        </w:rPr>
        <w:tab/>
        <w:t xml:space="preserve">Организатор общественных слушаний: </w:t>
      </w:r>
    </w:p>
    <w:p>
      <w:pPr>
        <w:pStyle w:val="Normal"/>
        <w:spacing w:lineRule="auto" w:line="240" w:before="0" w:after="143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 xml:space="preserve">Городская Управа города Калуги </w:t>
      </w:r>
      <w:r>
        <w:rPr>
          <w:rFonts w:cs="Times New Roman" w:ascii="Times New Roman" w:hAnsi="Times New Roman"/>
          <w:sz w:val="24"/>
          <w:szCs w:val="24"/>
          <w:u w:val="none"/>
        </w:rPr>
        <w:t xml:space="preserve"> (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u w:val="none"/>
          <w:lang w:val="ru-RU"/>
        </w:rPr>
        <w:t>управление городского хозяйства города Калуги).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ab/>
        <w:t>Общее количество участников общественных слушаний</w:t>
      </w:r>
      <w:r>
        <w:rPr>
          <w:rFonts w:cs="Times New Roman" w:ascii="Times New Roman" w:hAnsi="Times New Roman"/>
          <w:b/>
          <w:bCs/>
          <w:sz w:val="24"/>
          <w:szCs w:val="24"/>
        </w:rPr>
        <w:t>: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8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человек</w:t>
      </w:r>
      <w:r>
        <w:rPr>
          <w:rFonts w:cs="Times New Roman" w:ascii="Times New Roman" w:hAnsi="Times New Roman"/>
          <w:sz w:val="24"/>
          <w:szCs w:val="24"/>
        </w:rPr>
        <w:t xml:space="preserve"> (регистрационный лист прилагается).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>Вопросы, обсуждаемые на общественных слушаниях: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ab/>
        <w:t xml:space="preserve">Замечания и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предложения по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>предварительны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val="ru-RU" w:eastAsia="ru-RU"/>
        </w:rPr>
        <w:t>м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 xml:space="preserve"> материал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val="ru-RU" w:eastAsia="ru-RU"/>
        </w:rPr>
        <w:t>ам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>, обосновывающи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val="ru-RU" w:eastAsia="ru-RU"/>
        </w:rPr>
        <w:t>м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 xml:space="preserve"> лимиты и квоты добычи охотничьих ресурсов в сезоне охоты 2023-2024 годов, включая предварительные материалы оценки воздействия на окружающую среду на территории </w:t>
      </w:r>
      <w:r>
        <w:rPr>
          <w:rStyle w:val="Style20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муниципального образования «Город Калуга»</w:t>
      </w:r>
      <w:r>
        <w:rPr>
          <w:rStyle w:val="Strong"/>
          <w:rFonts w:eastAsia="Calibri" w:cs="Times New Roman" w:ascii="Times New Roman" w:hAnsi="Times New Roman" w:eastAsiaTheme="minorHAnsi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в срок до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22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мая 2023 года в электронном и письменном виде по вышеуказанным адресам, те</w:t>
      </w:r>
      <w:r>
        <w:rPr>
          <w:rFonts w:cs="Times New Roman" w:ascii="Times New Roman" w:hAnsi="Times New Roman"/>
          <w:bCs/>
          <w:sz w:val="24"/>
          <w:szCs w:val="24"/>
        </w:rPr>
        <w:t>лефонам не поступили.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Доклад начальника </w:t>
      </w:r>
      <w:r>
        <w:rPr>
          <w:rFonts w:ascii="Times New Roman" w:hAnsi="Times New Roman"/>
          <w:sz w:val="24"/>
          <w:szCs w:val="24"/>
        </w:rPr>
        <w:t xml:space="preserve">отдела государственного охотничьего контроля (надзора) и охраны животного мира министерства природных ресурсов и экологии Калужской области </w:t>
      </w:r>
      <w:r>
        <w:rPr>
          <w:rFonts w:ascii="Times New Roman" w:hAnsi="Times New Roman" w:cstheme="minorBidi"/>
          <w:sz w:val="24"/>
          <w:szCs w:val="24"/>
          <w:shd w:fill="auto" w:val="clear"/>
        </w:rPr>
        <w:t>Панкрушов В.Г.</w:t>
      </w:r>
      <w:r>
        <w:rPr>
          <w:rFonts w:ascii="Times New Roman" w:hAnsi="Times New Roman" w:cstheme="minorBidi"/>
          <w:sz w:val="24"/>
          <w:szCs w:val="24"/>
          <w:shd w:fill="auto" w:val="clear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>предварительны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>м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 xml:space="preserve"> материал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>ам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>, обосновывающи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>м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 xml:space="preserve"> лимиты и квоты добычи охотничьих ресурсов в сезоне охоты 2023-2024 годов, включая предварительные материалы оценки воздействия на окружающую среду на территории </w:t>
      </w:r>
      <w:r>
        <w:rPr>
          <w:rStyle w:val="Style20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муниципального образования «Город Калуга»</w:t>
      </w:r>
      <w:r>
        <w:rPr>
          <w:rFonts w:ascii="Times New Roman" w:hAnsi="Times New Roman"/>
          <w:sz w:val="24"/>
          <w:szCs w:val="24"/>
        </w:rPr>
        <w:t xml:space="preserve"> был обсужден участниками общественных слушаний.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В ходе обмена мнениями по докладу участники общественных слушаний высказывались об одобрении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>предварительны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>х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 xml:space="preserve"> материал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>ов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>, обосновывающи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>х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 xml:space="preserve"> лимиты и квоты добычи охотничьих ресурсов в сезоне охоты 2023-2024 годов, включая предварительные материалы оценки воздействия на окружающую среду на территории </w:t>
      </w:r>
      <w:r>
        <w:rPr>
          <w:rStyle w:val="Style20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муниципального образования «Город Калуга»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/>
        <w:rPr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Выводы по результатам проведения общественных обсуждений: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1. Общественные обсуждения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>предварительны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>х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 xml:space="preserve"> материал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>ов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>, обосновывающи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>х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lang w:eastAsia="ru-RU"/>
        </w:rPr>
        <w:t xml:space="preserve"> лимиты и квоты добычи охотничьих ресурсов в сезоне охоты 2023-2024 годов, включая предварительные материалы оценки воздействия на окружающую среду на территории </w:t>
      </w:r>
      <w:r>
        <w:rPr>
          <w:rStyle w:val="Style20"/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муниципального образования «Город Калуга»</w:t>
      </w:r>
      <w:r>
        <w:rPr>
          <w:rFonts w:ascii="Times New Roman" w:hAnsi="Times New Roman"/>
          <w:sz w:val="24"/>
          <w:szCs w:val="24"/>
        </w:rPr>
        <w:t>, признать состоявшимися.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>2. Комплекс мероприятий, направленных на информирование общественности о планируемой (намечаемой) хозяйственной и иной деятельности и ее возможном воздействии на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окружающую среду с целью изучения общественного мнения и выявления возможного негативного влияния планируемой (намечаемой) хозяйственной деятельности на окружающую среду и здоровье населения города Калуга Калужской области полностью выполнен.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>3. Заинтересованным гражданам даны полные и исчерпывающие ответы на интересующие вопросы по данному объекту.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>4. Порядок организации и проведения общественных обсуждений о планируемой (намечаемой) хозяйственной и иной деятельности, которая подлежит государственной экологической экспертизе, полностью соблюдены.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4"/>
        <w:gridCol w:w="3970"/>
      </w:tblGrid>
      <w:tr>
        <w:trPr>
          <w:trHeight w:val="732" w:hRule="atLeast"/>
        </w:trPr>
        <w:tc>
          <w:tcPr>
            <w:tcW w:w="53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Заместитель начальника управления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городского хозяйства города Калуги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none"/>
              </w:rPr>
              <w:t>_____________С.В.Возилкин</w:t>
            </w:r>
          </w:p>
        </w:tc>
      </w:tr>
      <w:tr>
        <w:trPr>
          <w:trHeight w:val="744" w:hRule="atLeast"/>
        </w:trPr>
        <w:tc>
          <w:tcPr>
            <w:tcW w:w="53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Председатель комитета по благоустройству    управления городского хозяйства города Калуги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none"/>
              </w:rPr>
              <w:t>_____________В.Д.Титов</w:t>
            </w:r>
          </w:p>
        </w:tc>
      </w:tr>
      <w:tr>
        <w:trPr>
          <w:trHeight w:val="960" w:hRule="atLeast"/>
        </w:trPr>
        <w:tc>
          <w:tcPr>
            <w:tcW w:w="53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Начальник отдела экологии и реализации целевых программ комитета по благоустройству управления городского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хозяйства города Калуги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А</w:t>
            </w:r>
            <w:r>
              <w:rPr>
                <w:rFonts w:cs="Times New Roman" w:ascii="Times New Roman" w:hAnsi="Times New Roman"/>
                <w:sz w:val="24"/>
                <w:szCs w:val="24"/>
                <w:u w:val="none"/>
              </w:rPr>
              <w:t>.П.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Дунь</w:t>
            </w:r>
          </w:p>
        </w:tc>
      </w:tr>
      <w:tr>
        <w:trPr>
          <w:trHeight w:val="852" w:hRule="atLeast"/>
        </w:trPr>
        <w:tc>
          <w:tcPr>
            <w:tcW w:w="53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Главный специалист отдела экологии и реализации целевых программ комитета по благоустройству управления городского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хозяйства города Калуги</w:t>
            </w:r>
          </w:p>
        </w:tc>
        <w:tc>
          <w:tcPr>
            <w:tcW w:w="3970" w:type="dxa"/>
            <w:tcBorders/>
          </w:tcPr>
          <w:p>
            <w:pPr>
              <w:pStyle w:val="Style29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9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Е.Н. Тяпкина</w:t>
            </w:r>
          </w:p>
        </w:tc>
      </w:tr>
      <w:tr>
        <w:trPr>
          <w:trHeight w:val="1062" w:hRule="atLeast"/>
        </w:trPr>
        <w:tc>
          <w:tcPr>
            <w:tcW w:w="53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Начальника управления по охране и использованию объектов животного мира и водных биологических ресурсов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______________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В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Г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.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Пакрушов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Участники: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none"/>
        </w:rPr>
        <w:t>_________________________</w:t>
      </w:r>
      <w:bookmarkStart w:id="1" w:name="__DdeLink__737_18416526"/>
      <w:r>
        <w:rPr>
          <w:rFonts w:cs="Times New Roman" w:ascii="Times New Roman" w:hAnsi="Times New Roman"/>
          <w:sz w:val="24"/>
          <w:szCs w:val="24"/>
          <w:u w:val="none"/>
        </w:rPr>
        <w:t>_</w:t>
      </w:r>
      <w:bookmarkEnd w:id="1"/>
      <w:r>
        <w:rPr>
          <w:rFonts w:cs="Times New Roman" w:ascii="Times New Roman" w:hAnsi="Times New Roman"/>
          <w:sz w:val="24"/>
          <w:szCs w:val="24"/>
          <w:u w:val="none"/>
        </w:rPr>
        <w:t>_________________________________________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none"/>
        </w:rPr>
        <w:t>___________________________________________________________________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___________________________________________________________________ ___________________________________________________________________</w:t>
        <w:tab/>
        <w:t xml:space="preserve">                                </w:t>
      </w:r>
    </w:p>
    <w:sectPr>
      <w:footerReference w:type="default" r:id="rId3"/>
      <w:type w:val="nextPage"/>
      <w:pgSz w:w="11906" w:h="16838"/>
      <w:pgMar w:left="1701" w:right="850" w:gutter="0" w:header="0" w:top="850" w:footer="567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  <w:font w:name="Times New Roman">
    <w:altName w:val="serif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34178923"/>
    </w:sdtPr>
    <w:sdtContent>
      <w:p>
        <w:pPr>
          <w:pStyle w:val="Style28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8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1f4895"/>
    <w:rPr/>
  </w:style>
  <w:style w:type="character" w:styleId="Style15" w:customStyle="1">
    <w:name w:val="Нижний колонтитул Знак"/>
    <w:basedOn w:val="DefaultParagraphFont"/>
    <w:uiPriority w:val="99"/>
    <w:qFormat/>
    <w:rsid w:val="001f4895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9b5607"/>
    <w:rPr>
      <w:rFonts w:ascii="Tahoma" w:hAnsi="Tahoma" w:cs="Tahoma"/>
      <w:sz w:val="16"/>
      <w:szCs w:val="16"/>
    </w:rPr>
  </w:style>
  <w:style w:type="character" w:styleId="Style17">
    <w:name w:val="Hyperlink"/>
    <w:basedOn w:val="DefaultParagraphFont"/>
    <w:uiPriority w:val="99"/>
    <w:unhideWhenUsed/>
    <w:rsid w:val="00914fdd"/>
    <w:rPr>
      <w:color w:val="0000FF" w:themeColor="hyperlink"/>
      <w:u w:val="single"/>
    </w:rPr>
  </w:style>
  <w:style w:type="character" w:styleId="3" w:customStyle="1">
    <w:name w:val="Основной текст (3)_"/>
    <w:basedOn w:val="DefaultParagraphFont"/>
    <w:qFormat/>
    <w:rsid w:val="009638e6"/>
    <w:rPr>
      <w:rFonts w:ascii="Times New Roman" w:hAnsi="Times New Roman" w:eastAsia="Times New Roman" w:cs="Times New Roman"/>
      <w:sz w:val="21"/>
      <w:szCs w:val="21"/>
      <w:shd w:fill="FFFFFF" w:val="clear"/>
    </w:rPr>
  </w:style>
  <w:style w:type="character" w:styleId="2" w:customStyle="1">
    <w:name w:val="Основной текст (2)_"/>
    <w:basedOn w:val="DefaultParagraphFont"/>
    <w:qFormat/>
    <w:rsid w:val="009638e6"/>
    <w:rPr>
      <w:rFonts w:ascii="Times New Roman" w:hAnsi="Times New Roman" w:eastAsia="Times New Roman" w:cs="Times New Roman"/>
      <w:sz w:val="21"/>
      <w:szCs w:val="21"/>
      <w:shd w:fill="FFFFFF" w:val="clear"/>
    </w:rPr>
  </w:style>
  <w:style w:type="character" w:styleId="Strong">
    <w:name w:val="Strong"/>
    <w:qFormat/>
    <w:rPr>
      <w:b/>
      <w:bCs/>
    </w:rPr>
  </w:style>
  <w:style w:type="character" w:styleId="Style18">
    <w:name w:val="Маркеры списка"/>
    <w:qFormat/>
    <w:rPr>
      <w:rFonts w:ascii="OpenSymbol" w:hAnsi="OpenSymbol" w:eastAsia="OpenSymbol" w:cs="OpenSymbol"/>
    </w:rPr>
  </w:style>
  <w:style w:type="character" w:styleId="Style19">
    <w:name w:val="FollowedHyperlink"/>
    <w:rPr>
      <w:color w:val="800000"/>
      <w:u w:val="single"/>
      <w:lang w:val="zxx" w:bidi="zxx"/>
    </w:rPr>
  </w:style>
  <w:style w:type="character" w:styleId="Style20">
    <w:name w:val="Strong"/>
    <w:qFormat/>
    <w:rPr>
      <w:b/>
      <w:bCs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2">
    <w:name w:val="Body Text"/>
    <w:basedOn w:val="Normal"/>
    <w:pPr>
      <w:spacing w:lineRule="auto" w:line="288" w:before="0" w:after="14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uiPriority w:val="99"/>
    <w:unhideWhenUsed/>
    <w:rsid w:val="001f489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uiPriority w:val="99"/>
    <w:unhideWhenUsed/>
    <w:rsid w:val="001f489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81a45"/>
    <w:pPr>
      <w:spacing w:before="0" w:after="200"/>
      <w:ind w:left="720" w:hanging="0"/>
      <w:contextualSpacing/>
    </w:pPr>
    <w:rPr/>
  </w:style>
  <w:style w:type="paragraph" w:styleId="Normal1" w:customStyle="1">
    <w:name w:val="Normal1"/>
    <w:qFormat/>
    <w:rsid w:val="005024d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9b560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31" w:customStyle="1">
    <w:name w:val="Основной текст (3)"/>
    <w:basedOn w:val="Normal"/>
    <w:link w:val="3"/>
    <w:qFormat/>
    <w:rsid w:val="009638e6"/>
    <w:pPr>
      <w:widowControl w:val="false"/>
      <w:shd w:val="clear" w:color="auto" w:fill="FFFFFF"/>
      <w:spacing w:lineRule="exact" w:line="283" w:before="0" w:after="300"/>
      <w:jc w:val="both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21" w:customStyle="1">
    <w:name w:val="Основной текст (2)"/>
    <w:basedOn w:val="Normal"/>
    <w:link w:val="2"/>
    <w:qFormat/>
    <w:rsid w:val="009638e6"/>
    <w:pPr>
      <w:widowControl w:val="false"/>
      <w:shd w:val="clear" w:color="auto" w:fill="FFFFFF"/>
      <w:spacing w:lineRule="exact" w:line="232" w:before="300" w:after="300"/>
      <w:ind w:hanging="360"/>
      <w:jc w:val="both"/>
    </w:pPr>
    <w:rPr>
      <w:rFonts w:ascii="Times New Roman" w:hAnsi="Times New Roman" w:eastAsia="Times New Roman" w:cs="Times New Roman"/>
      <w:sz w:val="21"/>
      <w:szCs w:val="21"/>
    </w:rPr>
  </w:style>
  <w:style w:type="paragraph" w:styleId="Style29">
    <w:name w:val="Содержимое таблицы"/>
    <w:basedOn w:val="Normal"/>
    <w:qFormat/>
    <w:pPr/>
    <w:rPr/>
  </w:style>
  <w:style w:type="paragraph" w:styleId="Style30">
    <w:name w:val="Заголовок таблицы"/>
    <w:basedOn w:val="Style29"/>
    <w:qFormat/>
    <w:pPr/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Cambria Math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Arial" w:hAnsi="Arial" w:eastAsia="Cambria Math" w:cs="Arial"/>
      <w:b/>
      <w:bCs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aluga-gov.ru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9DF25-DB3A-4441-A639-485DE3DF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Application>LibreOffice/7.4.1.2$Windows_X86_64 LibreOffice_project/3c58a8f3a960df8bc8fd77b461821e42c061c5f0</Application>
  <AppVersion>15.0000</AppVersion>
  <Pages>3</Pages>
  <Words>761</Words>
  <Characters>6036</Characters>
  <CharactersWithSpaces>6876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2021-10-19T13:52:00Z</dcterms:created>
  <dc:creator>Логинова Оксана Николаевна</dc:creator>
  <dc:description/>
  <dc:language>ru-RU</dc:language>
  <cp:lastModifiedBy/>
  <cp:lastPrinted>2023-06-22T10:01:56Z</cp:lastPrinted>
  <dcterms:modified xsi:type="dcterms:W3CDTF">2023-06-22T10:17:03Z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