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7E" w:rsidRPr="001A0139" w:rsidRDefault="001A0139">
      <w:pPr>
        <w:pStyle w:val="ConsPlusNonformat"/>
        <w:jc w:val="center"/>
        <w:rPr>
          <w:sz w:val="24"/>
          <w:szCs w:val="24"/>
        </w:rPr>
      </w:pPr>
      <w:r w:rsidRPr="001A0139">
        <w:rPr>
          <w:rFonts w:ascii="Times New Roman" w:hAnsi="Times New Roman" w:cs="Times New Roman"/>
          <w:sz w:val="24"/>
          <w:szCs w:val="24"/>
        </w:rPr>
        <w:t>ФОРМА МОНИТОРИНГА РЕАЛИЗАЦИИ МУНИЦИПАЛЬНОЙ ПРОГРАММЫ (КВАРТАЛЬНАЯ)</w:t>
      </w:r>
      <w:bookmarkStart w:id="0" w:name="_Hlk199947847"/>
      <w:bookmarkEnd w:id="0"/>
    </w:p>
    <w:p w:rsidR="001A207E" w:rsidRPr="001A0139" w:rsidRDefault="001A0139" w:rsidP="001A01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139">
        <w:rPr>
          <w:rFonts w:ascii="Times New Roman" w:hAnsi="Times New Roman" w:cs="Times New Roman"/>
          <w:sz w:val="24"/>
          <w:szCs w:val="24"/>
        </w:rPr>
        <w:t xml:space="preserve">ЗА </w:t>
      </w:r>
      <w:r w:rsidRPr="001A013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A0139">
        <w:rPr>
          <w:rFonts w:ascii="Times New Roman" w:hAnsi="Times New Roman" w:cs="Times New Roman"/>
          <w:sz w:val="24"/>
          <w:szCs w:val="24"/>
        </w:rPr>
        <w:t xml:space="preserve"> квартал 2026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A0139" w:rsidRDefault="001A01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207E" w:rsidRDefault="001A013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муниципальной программы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«Безопасность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жизнедеятельности населения городского округа города Калуги Калужской области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A207E" w:rsidRDefault="001A013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 Отдел по организации защиты населения</w:t>
      </w:r>
    </w:p>
    <w:p w:rsidR="001A207E" w:rsidRDefault="001A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7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7"/>
        <w:gridCol w:w="1591"/>
        <w:gridCol w:w="1273"/>
        <w:gridCol w:w="1322"/>
        <w:gridCol w:w="1466"/>
        <w:gridCol w:w="4363"/>
      </w:tblGrid>
      <w:tr w:rsidR="001A207E" w:rsidTr="00E31BAA">
        <w:tc>
          <w:tcPr>
            <w:tcW w:w="4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Наименование муниципальной программы, направления муниципальной программы и источника финансового обеспечения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Объем финансового обеспечения, тыс. рублей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Исполнение, тыс. рублей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Процент исполнения</w:t>
            </w:r>
          </w:p>
          <w:p w:rsidR="001A207E" w:rsidRPr="00E31BAA" w:rsidRDefault="001A01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Par970" w:tgtFrame="#Par970">
              <w:r w:rsidRPr="00E31BAA">
                <w:rPr>
                  <w:rFonts w:ascii="Times New Roman" w:hAnsi="Times New Roman" w:cs="Times New Roman"/>
                </w:rPr>
                <w:t>(4)</w:t>
              </w:r>
            </w:hyperlink>
            <w:r w:rsidRPr="00E31BAA">
              <w:rPr>
                <w:rFonts w:ascii="Times New Roman" w:hAnsi="Times New Roman" w:cs="Times New Roman"/>
              </w:rPr>
              <w:t xml:space="preserve"> / </w:t>
            </w:r>
            <w:hyperlink w:anchor="Par967" w:tgtFrame="#Par967">
              <w:r w:rsidRPr="00E31BAA">
                <w:rPr>
                  <w:rFonts w:ascii="Times New Roman" w:hAnsi="Times New Roman" w:cs="Times New Roman"/>
                </w:rPr>
                <w:t>(3)</w:t>
              </w:r>
            </w:hyperlink>
            <w:r w:rsidRPr="00E31BAA">
              <w:rPr>
                <w:rFonts w:ascii="Times New Roman" w:hAnsi="Times New Roman" w:cs="Times New Roman"/>
              </w:rPr>
              <w:t xml:space="preserve"> * 100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 xml:space="preserve">Комментарий </w:t>
            </w:r>
            <w:hyperlink w:anchor="Par1142" w:tgtFrame="#Par1142">
              <w:r w:rsidRPr="00E31BAA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1A207E" w:rsidTr="00E31BAA">
        <w:tc>
          <w:tcPr>
            <w:tcW w:w="4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Предусмотрено программой/</w:t>
            </w:r>
          </w:p>
          <w:p w:rsidR="001A207E" w:rsidRPr="00E31BAA" w:rsidRDefault="001A01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направлением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 xml:space="preserve">Сводная бюджетная роспись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Кассовое исполнение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07E" w:rsidTr="00E31BAA">
        <w:trPr>
          <w:trHeight w:val="548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 xml:space="preserve">Муниципальная программа «Безопасность </w:t>
            </w:r>
            <w:proofErr w:type="gramStart"/>
            <w:r w:rsidRPr="00E31BAA">
              <w:rPr>
                <w:rFonts w:ascii="Times New Roman" w:hAnsi="Times New Roman" w:cs="Times New Roman"/>
              </w:rPr>
              <w:t>жизнедеятельности населения городского округа города Калуги Калужской</w:t>
            </w:r>
            <w:proofErr w:type="gramEnd"/>
            <w:r w:rsidRPr="00E31BAA">
              <w:rPr>
                <w:rFonts w:ascii="Times New Roman" w:hAnsi="Times New Roman" w:cs="Times New Roman"/>
              </w:rPr>
              <w:t xml:space="preserve"> области»», (всего), в том числе: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69 340,79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 w:rsidP="00E31B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8 555,2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A207E" w:rsidTr="00E31BAA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 w:rsidP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A207E" w:rsidTr="00E31BAA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 w:rsidP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средства областного бюджета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A0139" w:rsidTr="00E31BAA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139" w:rsidRPr="00E31BAA" w:rsidRDefault="001A0139" w:rsidP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 xml:space="preserve">средства бюджета </w:t>
            </w:r>
            <w:r w:rsidR="00106BCE" w:rsidRPr="00E31BAA">
              <w:rPr>
                <w:rFonts w:ascii="Times New Roman" w:hAnsi="Times New Roman" w:cs="Times New Roman"/>
              </w:rPr>
              <w:t>городского округа города Калуги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139" w:rsidRPr="00E31BAA" w:rsidRDefault="001A0139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69 340,8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139" w:rsidRPr="00E31BAA" w:rsidRDefault="001A0139" w:rsidP="00E31B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139" w:rsidRPr="00E31BAA" w:rsidRDefault="001A0139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8 555,2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139" w:rsidRPr="00E31BAA" w:rsidRDefault="001A0139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139" w:rsidRPr="00E31BAA" w:rsidRDefault="001A01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A207E" w:rsidTr="00E31BAA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Направление «</w:t>
            </w:r>
            <w:r w:rsidRPr="00E31BA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Национальная безопасность и правоохранительная деятельность»/отдел по организации защиты населения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67 980,79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8 457,4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средства областного бюджета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 xml:space="preserve">средства бюджета городского округа города </w:t>
            </w:r>
            <w:r w:rsidRPr="00E31BAA">
              <w:rPr>
                <w:rFonts w:ascii="Times New Roman" w:hAnsi="Times New Roman" w:cs="Times New Roman"/>
              </w:rPr>
              <w:lastRenderedPageBreak/>
              <w:t>Калуги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lastRenderedPageBreak/>
              <w:t>67 980,79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8 457,4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A207E" w:rsidTr="00E31BAA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 xml:space="preserve">Комплекс процессных мероприятий «Развитие и совершенствование гражданской </w:t>
            </w:r>
            <w:proofErr w:type="gramStart"/>
            <w:r w:rsidRPr="00E31BA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обороны </w:t>
            </w:r>
            <w:r w:rsidRPr="00E31BAA">
              <w:rPr>
                <w:rFonts w:ascii="Times New Roman" w:hAnsi="Times New Roman" w:cs="Times New Roman"/>
              </w:rPr>
              <w:t>городского округа города Калуги Калужской области</w:t>
            </w:r>
            <w:proofErr w:type="gramEnd"/>
            <w:r w:rsidRPr="00E31BAA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06BCE" w:rsidP="00E31BAA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iCs/>
                <w:color w:val="000000"/>
              </w:rPr>
              <w:t>4 036,5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 w:rsidP="00E31BAA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iCs/>
                <w:color w:val="000000"/>
              </w:rPr>
              <w:t>245,4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средства областного бюджета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средства бюджета городского округа города Калуги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iCs/>
                <w:color w:val="000000"/>
              </w:rPr>
              <w:t>4 036,5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iCs/>
                <w:color w:val="000000"/>
              </w:rPr>
              <w:t>245,4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A207E" w:rsidTr="00E31BAA">
        <w:trPr>
          <w:trHeight w:val="170"/>
        </w:trPr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>
            <w:pPr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Комплекс процессных мероприятий «Предупреждение, ликвидация последствий чрезвычайных ситуаций на территории </w:t>
            </w:r>
            <w:r w:rsidRPr="00E31BAA">
              <w:rPr>
                <w:rFonts w:ascii="Times New Roman" w:hAnsi="Times New Roman" w:cs="Times New Roman"/>
              </w:rPr>
              <w:t>городского округа города Калуги Калужской области»</w:t>
            </w:r>
            <w:r w:rsidRPr="00E31BA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, обеспечение первичных мер пожарной безопасности и безопасности на водных объектах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 w:rsidP="00E31BAA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iCs/>
                <w:color w:val="000000"/>
              </w:rPr>
              <w:t>1</w:t>
            </w:r>
            <w:r w:rsidR="00106BCE" w:rsidRPr="00E31BAA">
              <w:rPr>
                <w:rFonts w:ascii="Times New Roman" w:hAnsi="Times New Roman" w:cs="Times New Roman"/>
                <w:iCs/>
                <w:color w:val="000000"/>
              </w:rPr>
              <w:t> 275,0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 w:rsidP="00E31BAA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iCs/>
                <w:color w:val="000000"/>
              </w:rPr>
              <w:t>0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средства областного бюджета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средства бюджета городского округа города Калуги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iCs/>
                <w:color w:val="000000"/>
              </w:rPr>
              <w:t>1 275,0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iCs/>
                <w:color w:val="000000"/>
              </w:rPr>
              <w:t>0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A207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>
            <w:pPr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eastAsia="Times New Roman" w:hAnsi="Times New Roman" w:cs="Times New Roman"/>
              </w:rPr>
              <w:t xml:space="preserve"> </w:t>
            </w:r>
            <w:r w:rsidRPr="00E31BA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Комплекс процессных мероприятий </w:t>
            </w:r>
            <w:r w:rsidRPr="00E31BAA">
              <w:rPr>
                <w:rFonts w:ascii="Times New Roman" w:eastAsia="Times New Roman" w:hAnsi="Times New Roman" w:cs="Times New Roman"/>
              </w:rPr>
              <w:t>«Прочие мероприятия по повышению уровня защищенности граждан»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bCs/>
                <w:color w:val="000000"/>
              </w:rPr>
              <w:t>2 069,6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 w:rsidP="00E31B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color w:val="000000"/>
              </w:rPr>
              <w:t>56,9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средства областного бюджета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lastRenderedPageBreak/>
              <w:t>средства бюджета городского округа города Калуги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bCs/>
                <w:color w:val="000000"/>
              </w:rPr>
              <w:t>2 069,6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color w:val="000000"/>
              </w:rPr>
              <w:t>56,9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A207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>
            <w:pPr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Комплекс процессных мероприятий </w:t>
            </w:r>
            <w:r w:rsidRPr="00E31BAA">
              <w:rPr>
                <w:rFonts w:ascii="Times New Roman" w:eastAsia="Times New Roman" w:hAnsi="Times New Roman" w:cs="Times New Roman"/>
              </w:rPr>
              <w:t xml:space="preserve">«Обеспечение </w:t>
            </w:r>
            <w:proofErr w:type="gramStart"/>
            <w:r w:rsidRPr="00E31BAA">
              <w:rPr>
                <w:rFonts w:ascii="Times New Roman" w:eastAsia="Times New Roman" w:hAnsi="Times New Roman" w:cs="Times New Roman"/>
              </w:rPr>
              <w:t xml:space="preserve">деятельности органов </w:t>
            </w:r>
            <w:r w:rsidRPr="00E31BAA">
              <w:rPr>
                <w:rFonts w:ascii="Times New Roman" w:eastAsia="Times New Roman" w:hAnsi="Times New Roman" w:cs="Times New Roman"/>
                <w:lang w:eastAsia="zh-CN"/>
              </w:rPr>
              <w:t>администрации городского округа города Калуги Калужской области</w:t>
            </w:r>
            <w:proofErr w:type="gramEnd"/>
            <w:r w:rsidRPr="00E31BA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color w:val="000000"/>
              </w:rPr>
              <w:t>18 326,6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 w:rsidP="00E31B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color w:val="000000"/>
              </w:rPr>
              <w:t>2 347,9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06BCE" w:rsidP="00E31BAA">
            <w:pPr>
              <w:tabs>
                <w:tab w:val="left" w:pos="450"/>
                <w:tab w:val="center" w:pos="673"/>
              </w:tabs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color w:val="000000"/>
              </w:rPr>
              <w:t>12,9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средства областного бюджета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средства бюджета городского округа города Калуги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color w:val="000000"/>
              </w:rPr>
              <w:t>18 326,6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color w:val="000000"/>
              </w:rPr>
              <w:t>2 347,9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tabs>
                <w:tab w:val="left" w:pos="450"/>
                <w:tab w:val="center" w:pos="673"/>
              </w:tabs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color w:val="000000"/>
              </w:rPr>
              <w:t>12,9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A207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>
            <w:pPr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eastAsia="Times New Roman" w:hAnsi="Times New Roman" w:cs="Times New Roman"/>
              </w:rPr>
              <w:t xml:space="preserve"> </w:t>
            </w:r>
            <w:r w:rsidRPr="00E31BA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Комплекс процессных мероприятий </w:t>
            </w:r>
            <w:r w:rsidRPr="00E31BAA">
              <w:rPr>
                <w:rFonts w:ascii="Times New Roman" w:eastAsia="Times New Roman" w:hAnsi="Times New Roman" w:cs="Times New Roman"/>
              </w:rPr>
              <w:t>«Обеспечение реализации функций казенным учреждением в сфере безопасности жизнедеятельности»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color w:val="000000"/>
              </w:rPr>
              <w:t>42 273,05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 w:rsidP="00E31B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color w:val="000000"/>
              </w:rPr>
              <w:t>5 807,1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tabs>
                <w:tab w:val="left" w:pos="450"/>
                <w:tab w:val="center" w:pos="673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1BAA">
              <w:rPr>
                <w:rFonts w:ascii="Times New Roman" w:hAnsi="Times New Roman" w:cs="Times New Roman"/>
                <w:color w:val="000000"/>
              </w:rPr>
              <w:t>13,7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средства областного бюджета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rPr>
          <w:trHeight w:val="507"/>
        </w:trPr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средства бюджета городского округа города Калуги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color w:val="000000"/>
              </w:rPr>
              <w:t>42 273,05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color w:val="000000"/>
              </w:rPr>
              <w:t>5 807,1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tabs>
                <w:tab w:val="left" w:pos="450"/>
                <w:tab w:val="center" w:pos="673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1BAA">
              <w:rPr>
                <w:rFonts w:ascii="Times New Roman" w:hAnsi="Times New Roman" w:cs="Times New Roman"/>
                <w:color w:val="000000"/>
              </w:rPr>
              <w:t>13,7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A207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>
            <w:pPr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Направление «Национальная безопасность и правоохранительная деятельность»/управление жилищно-коммунального хозяйства города Калуги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color w:val="000000"/>
              </w:rPr>
              <w:t>360,0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 w:rsidP="00E31B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 w:rsidP="00E31B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rPr>
          <w:trHeight w:val="448"/>
        </w:trPr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rPr>
          <w:trHeight w:val="381"/>
        </w:trPr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lastRenderedPageBreak/>
              <w:t>средства областного бюджета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средства бюджета городского округа города Калуги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color w:val="000000"/>
              </w:rPr>
              <w:t>360,0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A207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>
            <w:pPr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spacing w:val="-2"/>
              </w:rPr>
              <w:t xml:space="preserve">Комплекс процессных мероприятий «Временное размещение граждан, пострадавших в результате обстоятельств непреодолимой силы на территории </w:t>
            </w:r>
            <w:r w:rsidRPr="00E31BAA">
              <w:rPr>
                <w:rFonts w:ascii="Times New Roman" w:hAnsi="Times New Roman" w:cs="Times New Roman"/>
              </w:rPr>
              <w:t xml:space="preserve">городского округа города Калуги Калужской области»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bCs/>
                <w:color w:val="000000"/>
              </w:rPr>
              <w:t>360,0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 w:rsidP="00E31B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 w:rsidP="00E31B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средства областного бюджета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средства бюджета городского округа города Калуги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bCs/>
                <w:color w:val="000000"/>
              </w:rPr>
              <w:t>360,0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A207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>
            <w:pPr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color w:val="000000"/>
              </w:rPr>
              <w:t>Направление Жилищно-коммунальное хозяйство /управление городского хозяйства города Калуги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bCs/>
                <w:color w:val="000000"/>
              </w:rPr>
              <w:t>1000,0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 w:rsidP="00E31B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средства областного бюджета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средства бюджета городского округа города Калуги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bCs/>
                <w:color w:val="000000"/>
              </w:rPr>
              <w:t>1000,0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A207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>
            <w:pPr>
              <w:jc w:val="both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spacing w:val="-2"/>
              </w:rPr>
              <w:t>Комплекс процессных мероприятий «Безопасный город»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0139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bCs/>
                <w:color w:val="000000"/>
              </w:rPr>
              <w:t>1000,0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 w:rsidP="00E31B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7E" w:rsidRPr="00E31BAA" w:rsidRDefault="001A2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rPr>
          <w:trHeight w:val="191"/>
        </w:trPr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средства областного бюджета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6BCE" w:rsidTr="00E31BAA">
        <w:trPr>
          <w:trHeight w:val="255"/>
        </w:trPr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средства бюджета городского округа города Калуги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  <w:bCs/>
                <w:color w:val="000000"/>
              </w:rPr>
              <w:t>1000,0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 w:rsidP="00E31BAA">
            <w:pPr>
              <w:jc w:val="center"/>
              <w:rPr>
                <w:rFonts w:ascii="Times New Roman" w:hAnsi="Times New Roman" w:cs="Times New Roman"/>
              </w:rPr>
            </w:pPr>
            <w:r w:rsidRPr="00E31BA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CE" w:rsidRPr="00E31BAA" w:rsidRDefault="0010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A207E" w:rsidRDefault="001A20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1BAA" w:rsidRDefault="00E31B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A207E" w:rsidRDefault="001A013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Отчет о ходе реализации направления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Национальная безопасность и правоохранительная деятельность»</w:t>
      </w:r>
    </w:p>
    <w:tbl>
      <w:tblPr>
        <w:tblW w:w="1443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1736"/>
        <w:gridCol w:w="1145"/>
        <w:gridCol w:w="834"/>
        <w:gridCol w:w="703"/>
        <w:gridCol w:w="845"/>
        <w:gridCol w:w="985"/>
        <w:gridCol w:w="856"/>
        <w:gridCol w:w="985"/>
        <w:gridCol w:w="995"/>
        <w:gridCol w:w="985"/>
        <w:gridCol w:w="856"/>
        <w:gridCol w:w="995"/>
        <w:gridCol w:w="909"/>
        <w:gridCol w:w="1072"/>
      </w:tblGrid>
      <w:tr w:rsidR="00E31BAA" w:rsidRPr="006A2A06" w:rsidTr="006A2A06">
        <w:trPr>
          <w:trHeight w:val="57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6A2A06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6A2A06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Показатели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 xml:space="preserve">Единица </w:t>
            </w:r>
            <w:proofErr w:type="spellStart"/>
            <w:proofErr w:type="gramStart"/>
            <w:r w:rsidRPr="006A2A06">
              <w:rPr>
                <w:rFonts w:ascii="Times New Roman" w:hAnsi="Times New Roman" w:cs="Times New Roman"/>
                <w:sz w:val="22"/>
              </w:rPr>
              <w:t>измере</w:t>
            </w:r>
            <w:r w:rsidR="006A2A06">
              <w:rPr>
                <w:rFonts w:ascii="Times New Roman" w:hAnsi="Times New Roman" w:cs="Times New Roman"/>
                <w:sz w:val="22"/>
              </w:rPr>
              <w:t>-</w:t>
            </w:r>
            <w:r w:rsidRPr="006A2A06">
              <w:rPr>
                <w:rFonts w:ascii="Times New Roman" w:hAnsi="Times New Roman" w:cs="Times New Roman"/>
                <w:sz w:val="22"/>
              </w:rPr>
              <w:t>ния</w:t>
            </w:r>
            <w:proofErr w:type="spellEnd"/>
            <w:proofErr w:type="gramEnd"/>
            <w:r w:rsidRPr="006A2A06">
              <w:rPr>
                <w:rFonts w:ascii="Times New Roman" w:hAnsi="Times New Roman" w:cs="Times New Roman"/>
                <w:sz w:val="22"/>
              </w:rPr>
              <w:t xml:space="preserve"> (по </w:t>
            </w:r>
            <w:hyperlink r:id="rId8" w:history="1">
              <w:r w:rsidRPr="006A2A06">
                <w:rPr>
                  <w:rFonts w:ascii="Times New Roman" w:hAnsi="Times New Roman" w:cs="Times New Roman"/>
                  <w:sz w:val="22"/>
                </w:rPr>
                <w:t>ОКЕИ</w:t>
              </w:r>
            </w:hyperlink>
            <w:r w:rsidRPr="006A2A06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99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Значения по месяцам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На конец года</w:t>
            </w:r>
          </w:p>
        </w:tc>
      </w:tr>
      <w:tr w:rsidR="00E31BAA" w:rsidRPr="006A2A06" w:rsidTr="006A2A06">
        <w:trPr>
          <w:trHeight w:val="57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янв.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фев.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март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апр.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май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июнь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июль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авг.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сент.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окт.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A2A06">
              <w:rPr>
                <w:rFonts w:ascii="Times New Roman" w:hAnsi="Times New Roman" w:cs="Times New Roman"/>
                <w:sz w:val="22"/>
              </w:rPr>
              <w:t>нояб</w:t>
            </w:r>
            <w:proofErr w:type="spellEnd"/>
            <w:r w:rsidRPr="006A2A06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31BAA" w:rsidRPr="006A2A06" w:rsidTr="006A2A06">
        <w:trPr>
          <w:trHeight w:val="57"/>
        </w:trPr>
        <w:tc>
          <w:tcPr>
            <w:tcW w:w="144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lang w:eastAsia="ru-RU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Направление «Национальная безопасность и правоохранительная деятельность»</w:t>
            </w:r>
          </w:p>
        </w:tc>
      </w:tr>
      <w:tr w:rsidR="00E31BAA" w:rsidRPr="006A2A06" w:rsidTr="006A2A06">
        <w:trPr>
          <w:trHeight w:val="57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39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color w:val="000000"/>
                <w:sz w:val="22"/>
                <w:lang w:eastAsia="ru-RU"/>
              </w:rPr>
              <w:t>Укомплектованность запасов продовольствия, медицинских средств индивидуальной защиты и иных средств</w:t>
            </w:r>
          </w:p>
        </w:tc>
      </w:tr>
      <w:tr w:rsidR="006A2A06" w:rsidRPr="006A2A06" w:rsidTr="006A2A06">
        <w:trPr>
          <w:trHeight w:val="345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94,6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94,6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94,6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94,6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94,6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94,6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94,9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94,9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94,9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94,9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94,9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94,9</w:t>
            </w:r>
          </w:p>
        </w:tc>
      </w:tr>
      <w:tr w:rsidR="00E31BAA" w:rsidRPr="006A2A06" w:rsidTr="006A2A06">
        <w:trPr>
          <w:trHeight w:val="57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Факт/прогноз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94</w:t>
            </w:r>
            <w:r w:rsidR="006A2A06" w:rsidRPr="006A2A06">
              <w:rPr>
                <w:rFonts w:ascii="Times New Roman" w:hAnsi="Times New Roman" w:cs="Times New Roman"/>
                <w:sz w:val="22"/>
              </w:rPr>
              <w:t>,6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94</w:t>
            </w:r>
            <w:r w:rsidR="006A2A06" w:rsidRPr="006A2A06">
              <w:rPr>
                <w:rFonts w:ascii="Times New Roman" w:hAnsi="Times New Roman" w:cs="Times New Roman"/>
                <w:sz w:val="22"/>
              </w:rPr>
              <w:t>,6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9</w:t>
            </w:r>
            <w:r w:rsidR="006A2A06" w:rsidRPr="006A2A06">
              <w:rPr>
                <w:rFonts w:ascii="Times New Roman" w:hAnsi="Times New Roman" w:cs="Times New Roman"/>
                <w:sz w:val="22"/>
              </w:rPr>
              <w:t>4,6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31BAA" w:rsidRPr="006A2A06" w:rsidTr="006A2A06">
        <w:trPr>
          <w:trHeight w:val="57"/>
        </w:trPr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390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color w:val="000000"/>
                <w:sz w:val="22"/>
                <w:lang w:eastAsia="ru-RU"/>
              </w:rPr>
              <w:t>Уровень готовности защитных сооружений ГО</w:t>
            </w:r>
          </w:p>
        </w:tc>
      </w:tr>
      <w:tr w:rsidR="006A2A06" w:rsidRPr="006A2A06" w:rsidTr="006A2A06">
        <w:trPr>
          <w:trHeight w:val="401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70,6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70,6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70,6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70,6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70,6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70,6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70,6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70,6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70,6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70,6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70,6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70,6</w:t>
            </w:r>
          </w:p>
        </w:tc>
      </w:tr>
      <w:tr w:rsidR="00E31BAA" w:rsidRPr="006A2A06" w:rsidTr="006A2A06">
        <w:trPr>
          <w:trHeight w:val="57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Факт/прогноз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70,6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70,6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70,6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31BAA" w:rsidRPr="006A2A06" w:rsidTr="006A2A06">
        <w:trPr>
          <w:trHeight w:val="57"/>
        </w:trPr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390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color w:val="000000"/>
                <w:sz w:val="22"/>
                <w:lang w:eastAsia="ru-RU"/>
              </w:rPr>
              <w:t>Укомплектованность резерва материальных и технических сре</w:t>
            </w:r>
            <w:proofErr w:type="gramStart"/>
            <w:r w:rsidRPr="006A2A06">
              <w:rPr>
                <w:rFonts w:ascii="Times New Roman" w:hAnsi="Times New Roman" w:cs="Times New Roman"/>
                <w:color w:val="000000"/>
                <w:sz w:val="22"/>
                <w:lang w:eastAsia="ru-RU"/>
              </w:rPr>
              <w:t>дств дл</w:t>
            </w:r>
            <w:proofErr w:type="gramEnd"/>
            <w:r w:rsidRPr="006A2A06">
              <w:rPr>
                <w:rFonts w:ascii="Times New Roman" w:hAnsi="Times New Roman" w:cs="Times New Roman"/>
                <w:color w:val="000000"/>
                <w:sz w:val="22"/>
                <w:lang w:eastAsia="ru-RU"/>
              </w:rPr>
              <w:t>я ликвидации чрезвычайных ситуаций</w:t>
            </w:r>
          </w:p>
        </w:tc>
      </w:tr>
      <w:tr w:rsidR="00E31BAA" w:rsidRPr="006A2A06" w:rsidTr="006A2A06">
        <w:trPr>
          <w:trHeight w:val="57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98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98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98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98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98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98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98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98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98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98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98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98</w:t>
            </w:r>
          </w:p>
        </w:tc>
      </w:tr>
      <w:tr w:rsidR="00E31BAA" w:rsidRPr="006A2A06" w:rsidTr="006A2A06">
        <w:trPr>
          <w:trHeight w:val="57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Факт/прогноз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98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98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98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31BAA" w:rsidRPr="006A2A06" w:rsidTr="006A2A06">
        <w:trPr>
          <w:trHeight w:val="57"/>
        </w:trPr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390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  <w:lang w:eastAsia="ru-RU"/>
              </w:rPr>
              <w:t>Количество проведенных мероприятий по реализации первичных мер ПБ (установка емкостей, создание противопожарных разрывов).</w:t>
            </w:r>
          </w:p>
        </w:tc>
      </w:tr>
      <w:tr w:rsidR="006A2A06" w:rsidRPr="006A2A06" w:rsidTr="006A2A06">
        <w:trPr>
          <w:trHeight w:val="57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color w:val="000000"/>
                <w:sz w:val="22"/>
                <w:lang w:eastAsia="ru-RU"/>
              </w:rPr>
              <w:t>ед.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48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48</w:t>
            </w:r>
          </w:p>
        </w:tc>
      </w:tr>
      <w:tr w:rsidR="00E31BAA" w:rsidRPr="006A2A06" w:rsidTr="006A2A06">
        <w:trPr>
          <w:trHeight w:val="57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Факт/прогноз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ед.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4</w:t>
            </w:r>
            <w:r w:rsidR="006A2A06" w:rsidRPr="006A2A06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4</w:t>
            </w:r>
            <w:r w:rsidR="006A2A06" w:rsidRPr="006A2A06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4</w:t>
            </w:r>
            <w:r w:rsidR="006A2A06" w:rsidRPr="006A2A06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31BAA" w:rsidRPr="006A2A06" w:rsidTr="006A2A06">
        <w:trPr>
          <w:trHeight w:val="57"/>
        </w:trPr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390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 xml:space="preserve">Количество происшествий на водных объектах </w:t>
            </w:r>
            <w:r w:rsidR="006A2A06">
              <w:rPr>
                <w:rFonts w:ascii="Times New Roman" w:hAnsi="Times New Roman" w:cs="Times New Roman"/>
                <w:sz w:val="22"/>
              </w:rPr>
              <w:t>городского округа города</w:t>
            </w:r>
            <w:r w:rsidRPr="006A2A06">
              <w:rPr>
                <w:rFonts w:ascii="Times New Roman" w:hAnsi="Times New Roman" w:cs="Times New Roman"/>
                <w:sz w:val="22"/>
              </w:rPr>
              <w:t xml:space="preserve"> Калуг</w:t>
            </w:r>
            <w:r w:rsidR="006A2A06">
              <w:rPr>
                <w:rFonts w:ascii="Times New Roman" w:hAnsi="Times New Roman" w:cs="Times New Roman"/>
                <w:sz w:val="22"/>
              </w:rPr>
              <w:t>и</w:t>
            </w:r>
          </w:p>
        </w:tc>
      </w:tr>
      <w:tr w:rsidR="00E31BAA" w:rsidRPr="006A2A06" w:rsidTr="006A2A06">
        <w:trPr>
          <w:trHeight w:val="57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color w:val="000000"/>
                <w:sz w:val="22"/>
                <w:lang w:eastAsia="ru-RU"/>
              </w:rPr>
              <w:t>ед.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eastAsia="Liberation Serif" w:hAnsi="Times New Roman" w:cs="Times New Roman"/>
                <w:sz w:val="22"/>
              </w:rPr>
              <w:t>≤</w:t>
            </w:r>
            <w:r w:rsidRPr="006A2A06">
              <w:rPr>
                <w:rFonts w:ascii="Times New Roman" w:eastAsia="Calibri" w:hAnsi="Times New Roman" w:cs="Times New Roman"/>
                <w:sz w:val="22"/>
              </w:rPr>
              <w:t xml:space="preserve"> 11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eastAsia="Liberation Serif" w:hAnsi="Times New Roman" w:cs="Times New Roman"/>
                <w:sz w:val="22"/>
              </w:rPr>
              <w:t>≤</w:t>
            </w:r>
            <w:r w:rsidRPr="006A2A06">
              <w:rPr>
                <w:rFonts w:ascii="Times New Roman" w:eastAsia="Calibri" w:hAnsi="Times New Roman" w:cs="Times New Roman"/>
                <w:sz w:val="22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eastAsia="Liberation Serif" w:hAnsi="Times New Roman" w:cs="Times New Roman"/>
                <w:sz w:val="22"/>
              </w:rPr>
              <w:t>≤</w:t>
            </w:r>
            <w:r w:rsidRPr="006A2A06">
              <w:rPr>
                <w:rFonts w:ascii="Times New Roman" w:eastAsia="Calibri" w:hAnsi="Times New Roman" w:cs="Times New Roman"/>
                <w:sz w:val="22"/>
              </w:rPr>
              <w:t xml:space="preserve"> 11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eastAsia="Liberation Serif" w:hAnsi="Times New Roman" w:cs="Times New Roman"/>
                <w:sz w:val="22"/>
              </w:rPr>
              <w:t>≤</w:t>
            </w:r>
            <w:r w:rsidRPr="006A2A06">
              <w:rPr>
                <w:rFonts w:ascii="Times New Roman" w:eastAsia="Calibri" w:hAnsi="Times New Roman" w:cs="Times New Roman"/>
                <w:sz w:val="22"/>
              </w:rPr>
              <w:t>11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eastAsia="Liberation Serif" w:hAnsi="Times New Roman" w:cs="Times New Roman"/>
                <w:sz w:val="22"/>
              </w:rPr>
              <w:t>≤</w:t>
            </w:r>
            <w:r w:rsidRPr="006A2A06">
              <w:rPr>
                <w:rFonts w:ascii="Times New Roman" w:eastAsia="Calibri" w:hAnsi="Times New Roman" w:cs="Times New Roman"/>
                <w:sz w:val="22"/>
              </w:rPr>
              <w:t xml:space="preserve"> 11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eastAsia="Liberation Serif" w:hAnsi="Times New Roman" w:cs="Times New Roman"/>
                <w:sz w:val="22"/>
              </w:rPr>
              <w:t>≤</w:t>
            </w:r>
            <w:r w:rsidRPr="006A2A06">
              <w:rPr>
                <w:rFonts w:ascii="Times New Roman" w:eastAsia="Calibri" w:hAnsi="Times New Roman" w:cs="Times New Roman"/>
                <w:sz w:val="22"/>
              </w:rPr>
              <w:t>11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eastAsia="Liberation Serif" w:hAnsi="Times New Roman" w:cs="Times New Roman"/>
                <w:sz w:val="22"/>
              </w:rPr>
              <w:t>≤</w:t>
            </w:r>
            <w:r w:rsidRPr="006A2A06">
              <w:rPr>
                <w:rFonts w:ascii="Times New Roman" w:eastAsia="Calibri" w:hAnsi="Times New Roman" w:cs="Times New Roman"/>
                <w:sz w:val="22"/>
              </w:rPr>
              <w:t xml:space="preserve"> 11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eastAsia="Liberation Serif" w:hAnsi="Times New Roman" w:cs="Times New Roman"/>
                <w:sz w:val="22"/>
              </w:rPr>
              <w:t>≤</w:t>
            </w:r>
            <w:r w:rsidRPr="006A2A06">
              <w:rPr>
                <w:rFonts w:ascii="Times New Roman" w:eastAsia="Calibri" w:hAnsi="Times New Roman" w:cs="Times New Roman"/>
                <w:sz w:val="22"/>
              </w:rPr>
              <w:t>11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eastAsia="Liberation Serif" w:hAnsi="Times New Roman" w:cs="Times New Roman"/>
                <w:sz w:val="22"/>
              </w:rPr>
              <w:t>≤</w:t>
            </w:r>
            <w:r w:rsidRPr="006A2A06">
              <w:rPr>
                <w:rFonts w:ascii="Times New Roman" w:eastAsia="Calibri" w:hAnsi="Times New Roman" w:cs="Times New Roman"/>
                <w:sz w:val="22"/>
              </w:rPr>
              <w:t xml:space="preserve"> 11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eastAsia="Liberation Serif" w:hAnsi="Times New Roman" w:cs="Times New Roman"/>
                <w:sz w:val="22"/>
              </w:rPr>
              <w:t>≤</w:t>
            </w:r>
            <w:r w:rsidRPr="006A2A06">
              <w:rPr>
                <w:rFonts w:ascii="Times New Roman" w:eastAsia="Calibri" w:hAnsi="Times New Roman" w:cs="Times New Roman"/>
                <w:sz w:val="22"/>
              </w:rPr>
              <w:t>11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eastAsia="Liberation Serif" w:hAnsi="Times New Roman" w:cs="Times New Roman"/>
                <w:sz w:val="22"/>
              </w:rPr>
              <w:t>≤</w:t>
            </w:r>
            <w:r w:rsidRPr="006A2A06">
              <w:rPr>
                <w:rFonts w:ascii="Times New Roman" w:eastAsia="Calibri" w:hAnsi="Times New Roman" w:cs="Times New Roman"/>
                <w:sz w:val="22"/>
              </w:rPr>
              <w:t xml:space="preserve"> 11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eastAsia="Liberation Serif" w:hAnsi="Times New Roman" w:cs="Times New Roman"/>
                <w:sz w:val="22"/>
              </w:rPr>
              <w:t>≤</w:t>
            </w:r>
            <w:r w:rsidRPr="006A2A06">
              <w:rPr>
                <w:rFonts w:ascii="Times New Roman" w:eastAsia="Calibri" w:hAnsi="Times New Roman" w:cs="Times New Roman"/>
                <w:sz w:val="22"/>
              </w:rPr>
              <w:t>11</w:t>
            </w:r>
          </w:p>
        </w:tc>
      </w:tr>
      <w:tr w:rsidR="00E31BAA" w:rsidRPr="006A2A06" w:rsidTr="006A2A06">
        <w:trPr>
          <w:trHeight w:val="57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Факт/прогноз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color w:val="000000"/>
                <w:sz w:val="22"/>
                <w:lang w:eastAsia="ru-RU"/>
              </w:rPr>
              <w:t>ед.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eastAsia="Liberation Serif" w:hAnsi="Times New Roman" w:cs="Times New Roman"/>
                <w:sz w:val="22"/>
              </w:rPr>
              <w:t>≤</w:t>
            </w:r>
            <w:r w:rsidRPr="006A2A06">
              <w:rPr>
                <w:rFonts w:ascii="Times New Roman" w:eastAsia="Calibri" w:hAnsi="Times New Roman" w:cs="Times New Roman"/>
                <w:sz w:val="22"/>
              </w:rPr>
              <w:t xml:space="preserve"> 11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eastAsia="Liberation Serif" w:hAnsi="Times New Roman" w:cs="Times New Roman"/>
                <w:sz w:val="22"/>
              </w:rPr>
              <w:t>≤</w:t>
            </w:r>
            <w:r w:rsidRPr="006A2A06">
              <w:rPr>
                <w:rFonts w:ascii="Times New Roman" w:eastAsia="Calibri" w:hAnsi="Times New Roman" w:cs="Times New Roman"/>
                <w:sz w:val="22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eastAsia="Liberation Serif" w:hAnsi="Times New Roman" w:cs="Times New Roman"/>
                <w:sz w:val="22"/>
              </w:rPr>
              <w:t>≤</w:t>
            </w:r>
            <w:r w:rsidRPr="006A2A06">
              <w:rPr>
                <w:rFonts w:ascii="Times New Roman" w:eastAsia="Calibri" w:hAnsi="Times New Roman" w:cs="Times New Roman"/>
                <w:sz w:val="22"/>
              </w:rPr>
              <w:t xml:space="preserve"> 11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31BAA" w:rsidRPr="006A2A06" w:rsidTr="006A2A06">
        <w:trPr>
          <w:trHeight w:val="57"/>
        </w:trPr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390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Количество мероприятий по информированию населения в области ГО и защиты от ЧС</w:t>
            </w:r>
          </w:p>
        </w:tc>
      </w:tr>
      <w:tr w:rsidR="006A2A06" w:rsidRPr="006A2A06" w:rsidTr="006A2A06">
        <w:trPr>
          <w:trHeight w:val="57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ед.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200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308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416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524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632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740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848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950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1020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1188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1296</w:t>
            </w:r>
          </w:p>
        </w:tc>
      </w:tr>
      <w:tr w:rsidR="00E31BAA" w:rsidRPr="006A2A06" w:rsidTr="006A2A06">
        <w:trPr>
          <w:trHeight w:val="57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Факт/прогноз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color w:val="000000"/>
                <w:sz w:val="22"/>
                <w:lang w:eastAsia="ru-RU"/>
              </w:rPr>
              <w:t>ед.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174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220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31BAA" w:rsidRPr="006A2A06" w:rsidTr="006A2A06">
        <w:trPr>
          <w:trHeight w:val="57"/>
        </w:trPr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390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Количество мероприятий по подготовке и пропаганде знаний в области ГО и защиты от ЧС</w:t>
            </w:r>
          </w:p>
        </w:tc>
      </w:tr>
      <w:tr w:rsidR="006A2A06" w:rsidRPr="006A2A06" w:rsidTr="006A2A06">
        <w:trPr>
          <w:trHeight w:val="57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ед.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70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80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100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120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150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160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166</w:t>
            </w:r>
          </w:p>
        </w:tc>
      </w:tr>
      <w:tr w:rsidR="00E31BAA" w:rsidRPr="006A2A06" w:rsidTr="006A2A06">
        <w:trPr>
          <w:trHeight w:val="57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Факт/прогноз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color w:val="000000"/>
                <w:sz w:val="22"/>
                <w:lang w:eastAsia="ru-RU"/>
              </w:rPr>
              <w:t>ед.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4</w:t>
            </w:r>
            <w:r w:rsidR="006A2A06" w:rsidRPr="006A2A06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31BAA" w:rsidRPr="006A2A06" w:rsidTr="006A2A06">
        <w:trPr>
          <w:trHeight w:val="57"/>
        </w:trPr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390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AA" w:rsidRPr="006A2A06" w:rsidRDefault="00E31BAA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 xml:space="preserve">Доля установленных систем оповещения населения к </w:t>
            </w:r>
            <w:proofErr w:type="gramStart"/>
            <w:r w:rsidRPr="006A2A06">
              <w:rPr>
                <w:rFonts w:ascii="Times New Roman" w:hAnsi="Times New Roman" w:cs="Times New Roman"/>
                <w:sz w:val="22"/>
              </w:rPr>
              <w:t>запланированному</w:t>
            </w:r>
            <w:proofErr w:type="gramEnd"/>
            <w:r w:rsidRPr="006A2A06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6A2A06" w:rsidRPr="006A2A06" w:rsidTr="006A2A06">
        <w:trPr>
          <w:trHeight w:val="57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37,5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37,5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37,5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37,5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37,5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37,5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37,5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37,5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37,5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37,5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37,5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37,5</w:t>
            </w:r>
          </w:p>
        </w:tc>
      </w:tr>
      <w:tr w:rsidR="006A2A06" w:rsidRPr="006A2A06" w:rsidTr="006A2A06">
        <w:trPr>
          <w:trHeight w:val="57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Факт/прогноз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37,5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37,5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6A2A06">
              <w:rPr>
                <w:rStyle w:val="11"/>
                <w:rFonts w:ascii="Times New Roman" w:hAnsi="Times New Roman" w:cs="Times New Roman"/>
                <w:sz w:val="22"/>
              </w:rPr>
              <w:t>37,5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06" w:rsidRPr="006A2A06" w:rsidRDefault="006A2A06" w:rsidP="006A2A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1A207E" w:rsidRDefault="001A20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5BBB" w:rsidRDefault="00E31BAA">
      <w: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"/>
        <w:gridCol w:w="716"/>
        <w:gridCol w:w="3372"/>
        <w:gridCol w:w="1759"/>
        <w:gridCol w:w="1759"/>
        <w:gridCol w:w="2052"/>
        <w:gridCol w:w="2637"/>
        <w:gridCol w:w="2473"/>
      </w:tblGrid>
      <w:tr w:rsidR="003E5BBB" w:rsidTr="00D54693">
        <w:trPr>
          <w:gridBefore w:val="1"/>
          <w:wBefore w:w="55" w:type="pct"/>
          <w:trHeight w:val="469"/>
        </w:trPr>
        <w:tc>
          <w:tcPr>
            <w:tcW w:w="4945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3E5BBB" w:rsidRDefault="003E5BBB" w:rsidP="003E5B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BBB">
              <w:rPr>
                <w:rFonts w:ascii="Times New Roman" w:hAnsi="Times New Roman" w:cs="Times New Roman"/>
                <w:b/>
              </w:rPr>
              <w:lastRenderedPageBreak/>
              <w:t>СВЕДЕНИЯ</w:t>
            </w:r>
            <w:r w:rsidRPr="003E5BBB">
              <w:rPr>
                <w:rFonts w:ascii="Times New Roman" w:hAnsi="Times New Roman" w:cs="Times New Roman"/>
                <w:b/>
              </w:rPr>
              <w:t xml:space="preserve"> </w:t>
            </w:r>
            <w:r w:rsidRPr="003E5BBB">
              <w:rPr>
                <w:rFonts w:ascii="Times New Roman" w:hAnsi="Times New Roman" w:cs="Times New Roman"/>
                <w:b/>
              </w:rPr>
              <w:t>О СТЕПЕНИ ВЫПОЛНЕНИЯ МЕРОПРИЯТИЙ (ОСНОВНЫХ МЕРОПРИЯТИЙ) МУНИЦИПАЛЬНОЙ ПРОГРАММЫ</w:t>
            </w:r>
          </w:p>
          <w:tbl>
            <w:tblPr>
              <w:tblW w:w="14441" w:type="dxa"/>
              <w:tblInd w:w="10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441"/>
            </w:tblGrid>
            <w:tr w:rsidR="003E5BBB" w:rsidTr="00D54693">
              <w:trPr>
                <w:trHeight w:val="469"/>
              </w:trPr>
              <w:tc>
                <w:tcPr>
                  <w:tcW w:w="1428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5BBB" w:rsidRPr="000D19FF" w:rsidRDefault="003E5BBB" w:rsidP="003E5BBB">
                  <w:pPr>
                    <w:pStyle w:val="Standard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E5BBB" w:rsidRPr="000D19FF" w:rsidRDefault="003E5BBB" w:rsidP="006A015F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</w:tr>
      <w:tr w:rsidR="003E5BBB" w:rsidRPr="003E5BBB" w:rsidTr="00D54693">
        <w:trPr>
          <w:trHeight w:val="20"/>
        </w:trPr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3E5BBB" w:rsidRDefault="003E5BBB" w:rsidP="003E5BBB">
            <w:pPr>
              <w:jc w:val="center"/>
              <w:rPr>
                <w:rFonts w:ascii="Times New Roman" w:hAnsi="Times New Roman" w:cs="Times New Roman"/>
              </w:rPr>
            </w:pPr>
            <w:r w:rsidRPr="003E5BBB">
              <w:rPr>
                <w:rFonts w:ascii="Times New Roman" w:hAnsi="Times New Roman" w:cs="Times New Roman"/>
                <w:lang w:eastAsia="ru-RU"/>
              </w:rPr>
              <w:t>№</w:t>
            </w:r>
          </w:p>
        </w:tc>
        <w:tc>
          <w:tcPr>
            <w:tcW w:w="11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3E5BBB" w:rsidRDefault="003E5BBB" w:rsidP="003E5BBB">
            <w:pPr>
              <w:jc w:val="center"/>
              <w:rPr>
                <w:rFonts w:ascii="Times New Roman" w:hAnsi="Times New Roman" w:cs="Times New Roman"/>
              </w:rPr>
            </w:pPr>
            <w:r w:rsidRPr="003E5BBB">
              <w:rPr>
                <w:rFonts w:ascii="Times New Roman" w:hAnsi="Times New Roman" w:cs="Times New Roman"/>
                <w:lang w:eastAsia="ru-RU"/>
              </w:rPr>
              <w:t>Наименование мероприятия (результата)/контрольной точки</w:t>
            </w:r>
          </w:p>
        </w:tc>
        <w:tc>
          <w:tcPr>
            <w:tcW w:w="5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3E5BBB" w:rsidRDefault="003E5BBB" w:rsidP="003E5BBB">
            <w:pPr>
              <w:jc w:val="center"/>
              <w:rPr>
                <w:rFonts w:ascii="Times New Roman" w:hAnsi="Times New Roman" w:cs="Times New Roman"/>
              </w:rPr>
            </w:pPr>
            <w:r w:rsidRPr="003E5BBB">
              <w:rPr>
                <w:rFonts w:ascii="Times New Roman" w:hAnsi="Times New Roman" w:cs="Times New Roman"/>
                <w:lang w:eastAsia="ru-RU"/>
              </w:rPr>
              <w:t>Плановая дата наступления контрольной точки</w:t>
            </w:r>
          </w:p>
        </w:tc>
        <w:tc>
          <w:tcPr>
            <w:tcW w:w="5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3E5BBB" w:rsidRDefault="003E5BBB" w:rsidP="003E5BBB">
            <w:pPr>
              <w:jc w:val="center"/>
              <w:rPr>
                <w:rFonts w:ascii="Times New Roman" w:hAnsi="Times New Roman" w:cs="Times New Roman"/>
              </w:rPr>
            </w:pPr>
            <w:r w:rsidRPr="003E5BBB">
              <w:rPr>
                <w:rFonts w:ascii="Times New Roman" w:hAnsi="Times New Roman" w:cs="Times New Roman"/>
                <w:lang w:eastAsia="ru-RU"/>
              </w:rPr>
              <w:t>Фактическая дата наступления контрольной точки</w:t>
            </w:r>
          </w:p>
        </w:tc>
        <w:tc>
          <w:tcPr>
            <w:tcW w:w="6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3E5BBB" w:rsidRDefault="003E5BBB" w:rsidP="003E5BBB">
            <w:pPr>
              <w:jc w:val="center"/>
              <w:rPr>
                <w:rFonts w:ascii="Times New Roman" w:hAnsi="Times New Roman" w:cs="Times New Roman"/>
              </w:rPr>
            </w:pPr>
            <w:r w:rsidRPr="003E5BBB">
              <w:rPr>
                <w:rFonts w:ascii="Times New Roman" w:hAnsi="Times New Roman" w:cs="Times New Roman"/>
                <w:lang w:eastAsia="ru-RU"/>
              </w:rPr>
              <w:t>Ответственный исполнитель (должность)</w:t>
            </w:r>
          </w:p>
        </w:tc>
        <w:tc>
          <w:tcPr>
            <w:tcW w:w="8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3E5BBB" w:rsidRDefault="003E5BBB" w:rsidP="003E5BBB">
            <w:pPr>
              <w:jc w:val="center"/>
              <w:rPr>
                <w:rFonts w:ascii="Times New Roman" w:hAnsi="Times New Roman" w:cs="Times New Roman"/>
              </w:rPr>
            </w:pPr>
            <w:r w:rsidRPr="003E5BBB">
              <w:rPr>
                <w:rFonts w:ascii="Times New Roman" w:hAnsi="Times New Roman" w:cs="Times New Roman"/>
                <w:lang w:eastAsia="ru-RU"/>
              </w:rPr>
              <w:t>Подтверждающий документ</w:t>
            </w:r>
          </w:p>
        </w:tc>
        <w:tc>
          <w:tcPr>
            <w:tcW w:w="8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3E5BBB" w:rsidRDefault="003E5BBB" w:rsidP="003E5BBB">
            <w:pPr>
              <w:jc w:val="center"/>
              <w:rPr>
                <w:rFonts w:ascii="Times New Roman" w:hAnsi="Times New Roman" w:cs="Times New Roman"/>
              </w:rPr>
            </w:pPr>
            <w:r w:rsidRPr="003E5BBB">
              <w:rPr>
                <w:rFonts w:ascii="Times New Roman" w:hAnsi="Times New Roman" w:cs="Times New Roman"/>
                <w:lang w:eastAsia="ru-RU"/>
              </w:rPr>
              <w:t>Комментарий (результаты/</w:t>
            </w:r>
            <w:r w:rsidRPr="003E5BBB">
              <w:rPr>
                <w:rFonts w:ascii="Times New Roman" w:hAnsi="Times New Roman" w:cs="Times New Roman"/>
              </w:rPr>
              <w:t xml:space="preserve"> проблемы, возникшие в ходе реализации мероприятия)</w:t>
            </w:r>
          </w:p>
        </w:tc>
      </w:tr>
      <w:tr w:rsidR="003E5BBB" w:rsidRPr="003E5BBB" w:rsidTr="00D54693">
        <w:trPr>
          <w:trHeight w:val="20"/>
        </w:trPr>
        <w:tc>
          <w:tcPr>
            <w:tcW w:w="500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bCs/>
                <w:lang w:eastAsia="ru-RU"/>
              </w:rPr>
              <w:t>Сведения о выполнении (достижении) мероприятий и контрольных точек н</w:t>
            </w:r>
            <w:r w:rsidRPr="00D54693">
              <w:rPr>
                <w:rFonts w:ascii="Times New Roman" w:hAnsi="Times New Roman" w:cs="Times New Roman"/>
              </w:rPr>
              <w:t>аправления</w:t>
            </w:r>
            <w:r w:rsidRPr="00D54693">
              <w:rPr>
                <w:rFonts w:ascii="Times New Roman" w:hAnsi="Times New Roman" w:cs="Times New Roman"/>
              </w:rPr>
              <w:br/>
              <w:t>«Национальная безопасность и правоохранительная деятельность»</w:t>
            </w:r>
          </w:p>
        </w:tc>
      </w:tr>
      <w:tr w:rsidR="003E5BBB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705" w:type="pct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 xml:space="preserve">Задача «Обеспечение </w:t>
            </w:r>
            <w:proofErr w:type="gramStart"/>
            <w:r w:rsidRPr="00D54693">
              <w:rPr>
                <w:rFonts w:ascii="Times New Roman" w:hAnsi="Times New Roman" w:cs="Times New Roman"/>
              </w:rPr>
              <w:t xml:space="preserve">защиты населения </w:t>
            </w:r>
            <w:r w:rsidRPr="00D54693">
              <w:rPr>
                <w:rFonts w:ascii="Times New Roman" w:hAnsi="Times New Roman" w:cs="Times New Roman"/>
              </w:rPr>
              <w:t>городского округа</w:t>
            </w:r>
            <w:r w:rsidRPr="00D54693">
              <w:rPr>
                <w:rFonts w:ascii="Times New Roman" w:hAnsi="Times New Roman" w:cs="Times New Roman"/>
              </w:rPr>
              <w:t xml:space="preserve"> </w:t>
            </w:r>
            <w:r w:rsidRPr="00D54693">
              <w:rPr>
                <w:rFonts w:ascii="Times New Roman" w:hAnsi="Times New Roman" w:cs="Times New Roman"/>
              </w:rPr>
              <w:t>г</w:t>
            </w:r>
            <w:r w:rsidRPr="00D54693">
              <w:rPr>
                <w:rFonts w:ascii="Times New Roman" w:hAnsi="Times New Roman" w:cs="Times New Roman"/>
              </w:rPr>
              <w:t>ород</w:t>
            </w:r>
            <w:r w:rsidRPr="00D54693">
              <w:rPr>
                <w:rFonts w:ascii="Times New Roman" w:hAnsi="Times New Roman" w:cs="Times New Roman"/>
              </w:rPr>
              <w:t>а</w:t>
            </w:r>
            <w:r w:rsidRPr="00D54693">
              <w:rPr>
                <w:rFonts w:ascii="Times New Roman" w:hAnsi="Times New Roman" w:cs="Times New Roman"/>
              </w:rPr>
              <w:t xml:space="preserve"> Калуг</w:t>
            </w:r>
            <w:r w:rsidRPr="00D54693">
              <w:rPr>
                <w:rFonts w:ascii="Times New Roman" w:hAnsi="Times New Roman" w:cs="Times New Roman"/>
              </w:rPr>
              <w:t>и</w:t>
            </w:r>
            <w:proofErr w:type="gramEnd"/>
            <w:r w:rsidRPr="00D54693">
              <w:rPr>
                <w:rFonts w:ascii="Times New Roman" w:hAnsi="Times New Roman" w:cs="Times New Roman"/>
              </w:rPr>
              <w:t xml:space="preserve"> и материальных ценностей, находящихся на территории </w:t>
            </w:r>
            <w:r w:rsidRPr="00D54693">
              <w:rPr>
                <w:rFonts w:ascii="Times New Roman" w:hAnsi="Times New Roman" w:cs="Times New Roman"/>
              </w:rPr>
              <w:t>городского округа</w:t>
            </w:r>
            <w:r w:rsidRPr="00D54693">
              <w:rPr>
                <w:rFonts w:ascii="Times New Roman" w:hAnsi="Times New Roman" w:cs="Times New Roman"/>
              </w:rPr>
              <w:t xml:space="preserve"> </w:t>
            </w:r>
            <w:r w:rsidRPr="00D54693">
              <w:rPr>
                <w:rFonts w:ascii="Times New Roman" w:hAnsi="Times New Roman" w:cs="Times New Roman"/>
              </w:rPr>
              <w:t>г</w:t>
            </w:r>
            <w:r w:rsidRPr="00D54693">
              <w:rPr>
                <w:rFonts w:ascii="Times New Roman" w:hAnsi="Times New Roman" w:cs="Times New Roman"/>
              </w:rPr>
              <w:t>ород</w:t>
            </w:r>
            <w:r w:rsidRPr="00D54693">
              <w:rPr>
                <w:rFonts w:ascii="Times New Roman" w:hAnsi="Times New Roman" w:cs="Times New Roman"/>
              </w:rPr>
              <w:t>а</w:t>
            </w:r>
            <w:r w:rsidRPr="00D54693">
              <w:rPr>
                <w:rFonts w:ascii="Times New Roman" w:hAnsi="Times New Roman" w:cs="Times New Roman"/>
              </w:rPr>
              <w:t xml:space="preserve"> Калуг</w:t>
            </w:r>
            <w:r w:rsidRPr="00D54693">
              <w:rPr>
                <w:rFonts w:ascii="Times New Roman" w:hAnsi="Times New Roman" w:cs="Times New Roman"/>
              </w:rPr>
              <w:t>и</w:t>
            </w:r>
            <w:r w:rsidRPr="00D54693">
              <w:rPr>
                <w:rFonts w:ascii="Times New Roman" w:hAnsi="Times New Roman" w:cs="Times New Roman"/>
              </w:rPr>
              <w:t>, от опасностей, возникающих при военных конфликтах или вследствие этих конфликтов» структурного элемента «</w:t>
            </w:r>
            <w:r w:rsidRPr="00D54693">
              <w:rPr>
                <w:rFonts w:ascii="Times New Roman" w:hAnsi="Times New Roman" w:cs="Times New Roman"/>
                <w:color w:val="000000"/>
              </w:rPr>
              <w:t xml:space="preserve">Развитие и совершенствование гражданской обороны </w:t>
            </w:r>
            <w:r w:rsidRPr="00D54693">
              <w:rPr>
                <w:rFonts w:ascii="Times New Roman" w:hAnsi="Times New Roman" w:cs="Times New Roman"/>
              </w:rPr>
              <w:t>городского округа города Калуги</w:t>
            </w:r>
            <w:r w:rsidRPr="00D54693">
              <w:rPr>
                <w:rFonts w:ascii="Times New Roman" w:hAnsi="Times New Roman" w:cs="Times New Roman"/>
              </w:rPr>
              <w:t>»</w:t>
            </w:r>
          </w:p>
        </w:tc>
      </w:tr>
      <w:tr w:rsidR="003E5BBB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1.1</w:t>
            </w:r>
          </w:p>
        </w:tc>
        <w:tc>
          <w:tcPr>
            <w:tcW w:w="4705" w:type="pct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Мероприятие «</w:t>
            </w:r>
            <w:r w:rsidRPr="00D54693">
              <w:rPr>
                <w:rFonts w:ascii="Times New Roman" w:hAnsi="Times New Roman" w:cs="Times New Roman"/>
                <w:color w:val="000000"/>
                <w:lang w:eastAsia="ru-RU"/>
              </w:rPr>
              <w:t>Приобретение запасов продовольствия, медицинских средств индивидуальной защиты и иных средств</w:t>
            </w:r>
            <w:r w:rsidRPr="00D54693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</w:tr>
      <w:tr w:rsidR="003E5BBB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1.1.1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Контрольная точка Закупка включена в план закупок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12.01.2026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30.12.2025</w:t>
            </w: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>Главный специалист, по должностным инструкциям отвечающий за бухгалтерский 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План-график закупок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E5BBB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1.1.2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Контрольная точка «Сведения о муниципальном контракте внесены в реестр контрактов заключенных заказчиками по результату закупок»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30.06.2026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>Главный специалист, по должностным инструкциям отвечающий за бухгалтерский 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Договор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E5BBB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 xml:space="preserve">Контрольная точка «Проведена приемка представленных товаров, выполненных работ, </w:t>
            </w:r>
            <w:r w:rsidRPr="00D54693">
              <w:rPr>
                <w:rFonts w:ascii="Times New Roman" w:hAnsi="Times New Roman" w:cs="Times New Roman"/>
              </w:rPr>
              <w:lastRenderedPageBreak/>
              <w:t>оказанных услуг»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lastRenderedPageBreak/>
              <w:t>18.12.2026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 xml:space="preserve">Главный специалист, по должностным </w:t>
            </w:r>
            <w:r w:rsidRPr="00D54693">
              <w:rPr>
                <w:rStyle w:val="11"/>
                <w:rFonts w:ascii="Times New Roman" w:eastAsia="Times New Roman" w:hAnsi="Times New Roman" w:cs="Times New Roman"/>
              </w:rPr>
              <w:lastRenderedPageBreak/>
              <w:t>инструкциям отвечающий за бухгалтерский 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lastRenderedPageBreak/>
              <w:t>Товарная накладная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E5BBB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lastRenderedPageBreak/>
              <w:t>1.1.4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Контрольная точка «Произведена оплата товара, выполненных  работ, оказанных услуг»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30.12.2026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>Главный специалист, по должностным инструкциям отвечающий за бухгалтерский 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Платежное поручение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E5BBB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705" w:type="pct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54693">
              <w:rPr>
                <w:rFonts w:ascii="Times New Roman" w:hAnsi="Times New Roman" w:cs="Times New Roman"/>
              </w:rPr>
              <w:t>Мероприятие «Создание, содержание, и поддержание в состоянии постоянной готовности к использованию защитных сооружений гражданской обороны»</w:t>
            </w: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1.2.1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Контрольная точка Закупка включена в план закупок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12.01.2026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30.12.2025</w:t>
            </w: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>Главный специалист, по должностным инструкциям отвечающий за бухгалтерский 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План-график закупок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1.2.2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Контрольная точка «Сведения о муниципальном контракте внесены в реестр контрактов заключенных заказчиками по результату закупок»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30.06.2026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>Главный специалист, по должностным инструкциям отвечающий за бухгалтерский 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Договор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Контрольная точка «Проведена приемка представленных товаров, выполненных работ, оказанных услуг»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18.12.2026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 xml:space="preserve">Главный специалист, по должностным инструкциям отвечающий за бухгалтерский </w:t>
            </w:r>
            <w:r w:rsidRPr="00D54693">
              <w:rPr>
                <w:rStyle w:val="11"/>
                <w:rFonts w:ascii="Times New Roman" w:eastAsia="Times New Roman" w:hAnsi="Times New Roman" w:cs="Times New Roman"/>
              </w:rPr>
              <w:lastRenderedPageBreak/>
              <w:t>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lastRenderedPageBreak/>
              <w:t>Акт сдачи-приемки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lastRenderedPageBreak/>
              <w:t>1.2.4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Контрольная точка «Произведена оплата товара, выполненных  работ, оказанных услуг»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30.12.2026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>Главный специалист, по должностным инструкциям отвечающий за бухгалтерский 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Платежное поручение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E5BBB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705" w:type="pct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Задача «Уменьшение риска возникновения чрезвычайных ситуаций, а также повышение уровня защиты населения и объектов экономики от чрезвычайных ситуаций, угроз природного и техногенного характера</w:t>
            </w:r>
            <w:r w:rsidRPr="00D5469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D54693">
              <w:rPr>
                <w:rFonts w:ascii="Times New Roman" w:hAnsi="Times New Roman" w:cs="Times New Roman"/>
              </w:rPr>
              <w:t>» структурного элемента «</w:t>
            </w:r>
            <w:r w:rsidRPr="00D54693">
              <w:rPr>
                <w:rFonts w:ascii="Times New Roman" w:hAnsi="Times New Roman" w:cs="Times New Roman"/>
                <w:color w:val="000000"/>
              </w:rPr>
              <w:t xml:space="preserve">Предупреждение, ликвидация последствий чрезвычайных ситуаций на территории </w:t>
            </w:r>
            <w:r w:rsidR="00D54693">
              <w:rPr>
                <w:rFonts w:ascii="Times New Roman" w:hAnsi="Times New Roman" w:cs="Times New Roman"/>
                <w:color w:val="000000"/>
              </w:rPr>
              <w:t>городского округа</w:t>
            </w:r>
            <w:r w:rsidRPr="00D5469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54693">
              <w:rPr>
                <w:rFonts w:ascii="Times New Roman" w:hAnsi="Times New Roman" w:cs="Times New Roman"/>
                <w:color w:val="000000"/>
              </w:rPr>
              <w:t>г</w:t>
            </w:r>
            <w:r w:rsidRPr="00D54693">
              <w:rPr>
                <w:rFonts w:ascii="Times New Roman" w:hAnsi="Times New Roman" w:cs="Times New Roman"/>
                <w:color w:val="000000"/>
              </w:rPr>
              <w:t>ород</w:t>
            </w:r>
            <w:r w:rsidR="00D54693">
              <w:rPr>
                <w:rFonts w:ascii="Times New Roman" w:hAnsi="Times New Roman" w:cs="Times New Roman"/>
                <w:color w:val="000000"/>
              </w:rPr>
              <w:t>а</w:t>
            </w:r>
            <w:r w:rsidRPr="00D54693">
              <w:rPr>
                <w:rFonts w:ascii="Times New Roman" w:hAnsi="Times New Roman" w:cs="Times New Roman"/>
                <w:color w:val="000000"/>
              </w:rPr>
              <w:t xml:space="preserve"> Калуг</w:t>
            </w:r>
            <w:r w:rsidR="00D54693">
              <w:rPr>
                <w:rFonts w:ascii="Times New Roman" w:hAnsi="Times New Roman" w:cs="Times New Roman"/>
                <w:color w:val="000000"/>
              </w:rPr>
              <w:t>и</w:t>
            </w:r>
            <w:r w:rsidRPr="00D54693">
              <w:rPr>
                <w:rFonts w:ascii="Times New Roman" w:hAnsi="Times New Roman" w:cs="Times New Roman"/>
                <w:color w:val="000000"/>
              </w:rPr>
              <w:t xml:space="preserve">, обеспечение первичных мер пожарной безопасности и безопасности на </w:t>
            </w:r>
            <w:bookmarkStart w:id="1" w:name="_GoBack"/>
            <w:bookmarkEnd w:id="1"/>
            <w:r w:rsidRPr="00D54693">
              <w:rPr>
                <w:rFonts w:ascii="Times New Roman" w:hAnsi="Times New Roman" w:cs="Times New Roman"/>
                <w:color w:val="000000"/>
              </w:rPr>
              <w:t>водных объектах</w:t>
            </w:r>
            <w:r w:rsidRPr="00D54693">
              <w:rPr>
                <w:rFonts w:ascii="Times New Roman" w:hAnsi="Times New Roman" w:cs="Times New Roman"/>
              </w:rPr>
              <w:t>»</w:t>
            </w:r>
          </w:p>
        </w:tc>
      </w:tr>
      <w:tr w:rsidR="003E5BBB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2.1</w:t>
            </w:r>
          </w:p>
        </w:tc>
        <w:tc>
          <w:tcPr>
            <w:tcW w:w="4705" w:type="pct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54693">
              <w:rPr>
                <w:rFonts w:ascii="Times New Roman" w:hAnsi="Times New Roman" w:cs="Times New Roman"/>
                <w:color w:val="000000"/>
              </w:rPr>
              <w:t>Мероприятие</w:t>
            </w:r>
            <w:r w:rsidR="003E5BBB" w:rsidRPr="00D54693">
              <w:rPr>
                <w:rFonts w:ascii="Times New Roman" w:hAnsi="Times New Roman" w:cs="Times New Roman"/>
                <w:color w:val="000000"/>
              </w:rPr>
              <w:t xml:space="preserve"> «Наращивание резерва материально-технических сре</w:t>
            </w:r>
            <w:proofErr w:type="gramStart"/>
            <w:r w:rsidR="003E5BBB" w:rsidRPr="00D54693">
              <w:rPr>
                <w:rFonts w:ascii="Times New Roman" w:hAnsi="Times New Roman" w:cs="Times New Roman"/>
                <w:color w:val="000000"/>
              </w:rPr>
              <w:t>дств дл</w:t>
            </w:r>
            <w:proofErr w:type="gramEnd"/>
            <w:r w:rsidR="003E5BBB" w:rsidRPr="00D54693">
              <w:rPr>
                <w:rFonts w:ascii="Times New Roman" w:hAnsi="Times New Roman" w:cs="Times New Roman"/>
                <w:color w:val="000000"/>
              </w:rPr>
              <w:t>я ликвидации чрезвычайных ситуаций»</w:t>
            </w: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2.1.1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Контрольная точка Закупка включена в план закупок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12.01.2026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30.12.2025</w:t>
            </w: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>Главный специалист, по должностным инструкциям отвечающий за бухгалтерский 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План-график закупок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2.1.2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Контрольная точка «Сведения о муниципальном контракте внесены в реестр контрактов заключенных заказчиками по результату закупок»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30.06.2026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>Главный специалист, по должностным инструкциям отвечающий за бухгалтерский 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Договор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Контрольная точка «Проведена приемка представленных товаров, выполненных работ, оказанных услуг»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18.12.2026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 xml:space="preserve">Главный специалист, по должностным инструкциям отвечающий за </w:t>
            </w:r>
            <w:r w:rsidRPr="00D54693">
              <w:rPr>
                <w:rStyle w:val="11"/>
                <w:rFonts w:ascii="Times New Roman" w:eastAsia="Times New Roman" w:hAnsi="Times New Roman" w:cs="Times New Roman"/>
              </w:rPr>
              <w:lastRenderedPageBreak/>
              <w:t>бухгалтерский 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lastRenderedPageBreak/>
              <w:t>Товарная накладная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lastRenderedPageBreak/>
              <w:t>2.1.4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Контрольная точка «Произведена оплата товара, выполненных  работ, оказанных услуг»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30.12.2026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>Главный специалист, по должностным инструкциям отвечающий за бухгалтерский 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Платежное поручение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705" w:type="pct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54693">
              <w:rPr>
                <w:rFonts w:ascii="Times New Roman" w:hAnsi="Times New Roman" w:cs="Times New Roman"/>
                <w:color w:val="000000"/>
              </w:rPr>
              <w:t>Мероприятие</w:t>
            </w:r>
            <w:r w:rsidRPr="00D54693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D54693">
              <w:rPr>
                <w:rFonts w:ascii="Times New Roman" w:hAnsi="Times New Roman" w:cs="Times New Roman"/>
                <w:color w:val="000000"/>
              </w:rPr>
              <w:t>Расходы на создание и обеспечение первичных мер пожарной безопасности</w:t>
            </w:r>
            <w:r w:rsidRPr="00D54693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2.1.1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Контрольная точка Закупка включена в план закупок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12.01.2026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30.12.2025</w:t>
            </w: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>Главный специалист, по должностным инструкциям отвечающий за бухгалтерский 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План-график закупок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2.1.2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Контрольная точка «Сведения о муниципальном контракте внесены в реестр контрактов заключенных заказчиками по результату закупок»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30.06.2026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>Главный специалист, по должностным инструкциям отвечающий за бухгалтерский 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Муниципальный контракт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Контрольная точка «Проведена приемка представленных товаров, выполненных работ, оказанных услуг»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18.12.2026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>Главный специалист, по должностным инструкциям отвечающий за бухгалтерский 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Акт приемки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 xml:space="preserve">Контрольная точка </w:t>
            </w:r>
            <w:r w:rsidRPr="00D54693">
              <w:rPr>
                <w:rFonts w:ascii="Times New Roman" w:hAnsi="Times New Roman" w:cs="Times New Roman"/>
              </w:rPr>
              <w:lastRenderedPageBreak/>
              <w:t>«Произведена оплата товара, выполненных  работ, оказанных услуг»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lastRenderedPageBreak/>
              <w:t>30.12.2026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 xml:space="preserve">Главный </w:t>
            </w:r>
            <w:r w:rsidRPr="00D54693">
              <w:rPr>
                <w:rStyle w:val="11"/>
                <w:rFonts w:ascii="Times New Roman" w:eastAsia="Times New Roman" w:hAnsi="Times New Roman" w:cs="Times New Roman"/>
              </w:rPr>
              <w:lastRenderedPageBreak/>
              <w:t>специалист, по должностным инструкциям отвечающий за бухгалтерский 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lastRenderedPageBreak/>
              <w:t>Платежное поручение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E5BBB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4705" w:type="pct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Задача «Повышению уровня защищенности граждан при военных конфликтах или вследствие этих конфликтов, а также при ЧС природного и техногенного характера»</w:t>
            </w:r>
          </w:p>
        </w:tc>
      </w:tr>
      <w:tr w:rsidR="003E5BBB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3.1</w:t>
            </w:r>
          </w:p>
        </w:tc>
        <w:tc>
          <w:tcPr>
            <w:tcW w:w="4705" w:type="pct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BBB" w:rsidRPr="00D54693" w:rsidRDefault="003E5BBB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54693">
              <w:rPr>
                <w:rFonts w:ascii="Times New Roman" w:hAnsi="Times New Roman" w:cs="Times New Roman"/>
                <w:color w:val="000000"/>
              </w:rPr>
              <w:t>Мероприятия по информированию населе</w:t>
            </w:r>
            <w:r w:rsidR="00B7003E" w:rsidRPr="00D54693">
              <w:rPr>
                <w:rFonts w:ascii="Times New Roman" w:hAnsi="Times New Roman" w:cs="Times New Roman"/>
                <w:color w:val="000000"/>
              </w:rPr>
              <w:t>ния в области ГО и защиты от ЧС</w:t>
            </w: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Контрольная точка Закупка включена в план закупок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12.01.2026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30.12.2025</w:t>
            </w: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>Главный специалист, по должностным инструкциям отвечающий за бухгалтерский 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План-график закупок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Контрольная точка «Сведения о муниципальном контракте внесены в реестр контрактов заключенных заказчиками по результату закупок»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30.06.2026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>Главный специалист, по должностным инструкциям отвечающий за бухгалтерский 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Договор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3.1.3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Контрольная точка «Проведена приемка представленных товаров, выполненных работ, оказанных услуг»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18.12.2026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>Главный специалист, по должностным инструкциям отвечающий за бухгалтерский 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Акт оказанных услуг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3.1.4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 xml:space="preserve">Контрольная точка «Произведена оплата товара, </w:t>
            </w:r>
            <w:r w:rsidRPr="00D54693">
              <w:rPr>
                <w:rFonts w:ascii="Times New Roman" w:hAnsi="Times New Roman" w:cs="Times New Roman"/>
              </w:rPr>
              <w:lastRenderedPageBreak/>
              <w:t>выполненных  работ, оказанных услуг»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lastRenderedPageBreak/>
              <w:t>30.12.2026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 xml:space="preserve">Главный специалист, по </w:t>
            </w:r>
            <w:r w:rsidRPr="00D54693">
              <w:rPr>
                <w:rStyle w:val="11"/>
                <w:rFonts w:ascii="Times New Roman" w:eastAsia="Times New Roman" w:hAnsi="Times New Roman" w:cs="Times New Roman"/>
              </w:rPr>
              <w:lastRenderedPageBreak/>
              <w:t>должностным инструкциям отвечающий за бухгалтерский 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lastRenderedPageBreak/>
              <w:t>Платежное поручение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lastRenderedPageBreak/>
              <w:t>3.2</w:t>
            </w:r>
          </w:p>
        </w:tc>
        <w:tc>
          <w:tcPr>
            <w:tcW w:w="4705" w:type="pct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54693">
              <w:rPr>
                <w:rFonts w:ascii="Times New Roman" w:hAnsi="Times New Roman" w:cs="Times New Roman"/>
                <w:color w:val="000000"/>
              </w:rPr>
              <w:t>Мероприятия по пропаганде и подготовке населе</w:t>
            </w:r>
            <w:r w:rsidRPr="00D54693">
              <w:rPr>
                <w:rFonts w:ascii="Times New Roman" w:hAnsi="Times New Roman" w:cs="Times New Roman"/>
                <w:color w:val="000000"/>
              </w:rPr>
              <w:t>ния в области ГО и защиты от ЧС</w:t>
            </w: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Контрольная точка Закупка включена в план закупок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12.01.2026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30.12.2025</w:t>
            </w: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>Главный специалист, по должностным инструкциям отвечающий за бухгалтерский 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План-график закупок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Контрольная точка «Сведения о муниципальном контракте внесены в реестр контрактов заключенных заказчиками по результату закупок»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30.06.2026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>Главный специалист, по должностным инструкциям отвечающий за бухгалтерский 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Муниципальный контракт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Контрольная точка «Проведена приемка представленных товаров, выполненных работ, оказанных услуг»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18.12.2026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>Главный специалист, по должностным инструкциям отвечающий за бухгалтерский 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Товарная накладная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3.2.4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Контрольная точка «Произведена оплата товара, выполненных  работ, оказанных услуг»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30.12.2026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 xml:space="preserve">Главный специалист, по должностным инструкциям отвечающий за бухгалтерский </w:t>
            </w:r>
            <w:r w:rsidRPr="00D54693">
              <w:rPr>
                <w:rStyle w:val="11"/>
                <w:rFonts w:ascii="Times New Roman" w:eastAsia="Times New Roman" w:hAnsi="Times New Roman" w:cs="Times New Roman"/>
              </w:rPr>
              <w:lastRenderedPageBreak/>
              <w:t>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lastRenderedPageBreak/>
              <w:t>Платежное поручение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lastRenderedPageBreak/>
              <w:t>3.3</w:t>
            </w:r>
          </w:p>
        </w:tc>
        <w:tc>
          <w:tcPr>
            <w:tcW w:w="4705" w:type="pct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54693">
              <w:rPr>
                <w:rFonts w:ascii="Times New Roman" w:hAnsi="Times New Roman" w:cs="Times New Roman"/>
                <w:color w:val="000000"/>
              </w:rPr>
              <w:t>Мероприятия по созданию, реконструкции и поддержание в состоянии постоянной готовности к использованию муниципальные системы оповещения населения</w:t>
            </w: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3.3.1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Контрольная точка Закупка включена в план закупок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12.01.2026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30.12.2025</w:t>
            </w: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>Главный специалист, по должностным инструкциям отвечающий за бухгалтерский 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План-график закупок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3.3.2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Контрольная точка «Сведения о муниципальном контракте внесены в реестр контрактов заключенных заказчиками по результату закупок»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30.06.2026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>Главный специалист, по должностным инструкциям отвечающий за бухгалтерский 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Муниципальный контракт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3.3.3</w:t>
            </w:r>
          </w:p>
        </w:tc>
        <w:tc>
          <w:tcPr>
            <w:tcW w:w="11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Контрольная точка «Проведена приемка представленных товаров, выполненных работ, оказанных услуг»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18.12.2026</w:t>
            </w:r>
          </w:p>
        </w:tc>
        <w:tc>
          <w:tcPr>
            <w:tcW w:w="5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>Главный специалист, по должностным инструкциям отвечающий за бухгалтерский учет</w:t>
            </w:r>
          </w:p>
        </w:tc>
        <w:tc>
          <w:tcPr>
            <w:tcW w:w="88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Акт сдачи-приемки</w:t>
            </w:r>
          </w:p>
        </w:tc>
        <w:tc>
          <w:tcPr>
            <w:tcW w:w="8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003E" w:rsidRPr="003E5BBB" w:rsidTr="00D54693">
        <w:trPr>
          <w:trHeight w:val="20"/>
        </w:trPr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3.3.4</w:t>
            </w:r>
          </w:p>
        </w:tc>
        <w:tc>
          <w:tcPr>
            <w:tcW w:w="1129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</w:rPr>
              <w:t>Контрольная точка «Произведена оплата товара, выполненных  работ, оказанных услуг»</w:t>
            </w:r>
          </w:p>
        </w:tc>
        <w:tc>
          <w:tcPr>
            <w:tcW w:w="589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30.12.2026</w:t>
            </w:r>
          </w:p>
        </w:tc>
        <w:tc>
          <w:tcPr>
            <w:tcW w:w="589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Style w:val="11"/>
                <w:rFonts w:ascii="Times New Roman" w:eastAsia="Times New Roman" w:hAnsi="Times New Roman" w:cs="Times New Roman"/>
              </w:rPr>
              <w:t>Главный специалист, по должностным инструкциям отвечающий за бухгалтерский учет</w:t>
            </w:r>
          </w:p>
        </w:tc>
        <w:tc>
          <w:tcPr>
            <w:tcW w:w="883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4693">
              <w:rPr>
                <w:rFonts w:ascii="Times New Roman" w:hAnsi="Times New Roman" w:cs="Times New Roman"/>
                <w:lang w:eastAsia="ru-RU"/>
              </w:rPr>
              <w:t>Платежное поручение</w:t>
            </w:r>
          </w:p>
        </w:tc>
        <w:tc>
          <w:tcPr>
            <w:tcW w:w="828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03E" w:rsidRPr="00D54693" w:rsidRDefault="00B7003E" w:rsidP="00D5469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E31BAA" w:rsidRDefault="00E31BAA"/>
    <w:sectPr w:rsidR="00E31BAA">
      <w:headerReference w:type="default" r:id="rId9"/>
      <w:pgSz w:w="16838" w:h="11906" w:orient="landscape"/>
      <w:pgMar w:top="1701" w:right="1134" w:bottom="850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19A" w:rsidRDefault="00C5519A">
      <w:pPr>
        <w:spacing w:after="0" w:line="240" w:lineRule="auto"/>
      </w:pPr>
      <w:r>
        <w:separator/>
      </w:r>
    </w:p>
  </w:endnote>
  <w:endnote w:type="continuationSeparator" w:id="0">
    <w:p w:rsidR="00C5519A" w:rsidRDefault="00C55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19A" w:rsidRDefault="00C5519A">
      <w:pPr>
        <w:spacing w:after="0" w:line="240" w:lineRule="auto"/>
      </w:pPr>
      <w:r>
        <w:separator/>
      </w:r>
    </w:p>
  </w:footnote>
  <w:footnote w:type="continuationSeparator" w:id="0">
    <w:p w:rsidR="00C5519A" w:rsidRDefault="00C55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AA" w:rsidRDefault="00E31BAA">
    <w:pPr>
      <w:pStyle w:val="aff1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7E"/>
    <w:rsid w:val="00106BCE"/>
    <w:rsid w:val="001A0139"/>
    <w:rsid w:val="001A207E"/>
    <w:rsid w:val="003E5BBB"/>
    <w:rsid w:val="006A2A06"/>
    <w:rsid w:val="00B7003E"/>
    <w:rsid w:val="00C5519A"/>
    <w:rsid w:val="00D54693"/>
    <w:rsid w:val="00E3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qFormat/>
    <w:rPr>
      <w:i/>
      <w:iCs/>
      <w:color w:val="2F5496" w:themeColor="accent1" w:themeShade="BF"/>
    </w:rPr>
  </w:style>
  <w:style w:type="character" w:styleId="a3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7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FootnoteTextChar">
    <w:name w:val="Footnote Text Char"/>
    <w:basedOn w:val="a0"/>
    <w:uiPriority w:val="99"/>
    <w:semiHidden/>
    <w:qFormat/>
    <w:rPr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EndnoteTextChar">
    <w:name w:val="Endnote Text Char"/>
    <w:basedOn w:val="a0"/>
    <w:uiPriority w:val="99"/>
    <w:semiHidden/>
    <w:qFormat/>
    <w:rPr>
      <w:sz w:val="20"/>
      <w:szCs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-">
    <w:name w:val="Интернет-ссылка"/>
    <w:uiPriority w:val="99"/>
    <w:unhideWhenUsed/>
    <w:rPr>
      <w:color w:val="000080"/>
      <w:u w:val="single"/>
    </w:rPr>
  </w:style>
  <w:style w:type="character" w:styleId="a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b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d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e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f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f0">
    <w:name w:val="Верхний колонтитул Знак"/>
    <w:basedOn w:val="a0"/>
    <w:uiPriority w:val="99"/>
    <w:qFormat/>
  </w:style>
  <w:style w:type="character" w:customStyle="1" w:styleId="af1">
    <w:name w:val="Нижний колонтитул Знак"/>
    <w:basedOn w:val="a0"/>
    <w:uiPriority w:val="99"/>
    <w:qFormat/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Arial"/>
    </w:r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footnote text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9">
    <w:name w:val="endnote text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a">
    <w:name w:val="TOC Heading"/>
    <w:uiPriority w:val="39"/>
    <w:unhideWhenUsed/>
    <w:qFormat/>
    <w:rPr>
      <w:sz w:val="22"/>
    </w:rPr>
  </w:style>
  <w:style w:type="paragraph" w:styleId="afb">
    <w:name w:val="table of figures"/>
    <w:basedOn w:val="a"/>
    <w:next w:val="a"/>
    <w:uiPriority w:val="99"/>
    <w:unhideWhenUsed/>
    <w:qFormat/>
    <w:pPr>
      <w:spacing w:after="0"/>
    </w:pPr>
  </w:style>
  <w:style w:type="paragraph" w:styleId="afc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d">
    <w:name w:val="Subtitle"/>
    <w:basedOn w:val="a"/>
    <w:next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Intense Quote"/>
    <w:basedOn w:val="a"/>
    <w:next w:val="a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eastAsia="zh-CN"/>
      <w14:ligatures w14:val="none"/>
    </w:rPr>
  </w:style>
  <w:style w:type="paragraph" w:customStyle="1" w:styleId="aff0">
    <w:name w:val="Верхний и нижний колонтитулы"/>
    <w:basedOn w:val="a"/>
    <w:qFormat/>
  </w:style>
  <w:style w:type="paragraph" w:styleId="aff1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2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  <w:spacing w:after="160" w:line="259" w:lineRule="auto"/>
    </w:pPr>
    <w:rPr>
      <w:rFonts w:eastAsia="Times New Roman" w:cs="Calibri"/>
      <w:sz w:val="22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5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E31BA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customStyle="1" w:styleId="11">
    <w:name w:val="Основной шрифт абзаца1"/>
    <w:rsid w:val="006A2A06"/>
  </w:style>
  <w:style w:type="paragraph" w:customStyle="1" w:styleId="TableContents">
    <w:name w:val="Table Contents"/>
    <w:basedOn w:val="Standard"/>
    <w:rsid w:val="003E5BBB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qFormat/>
    <w:rPr>
      <w:i/>
      <w:iCs/>
      <w:color w:val="2F5496" w:themeColor="accent1" w:themeShade="BF"/>
    </w:rPr>
  </w:style>
  <w:style w:type="character" w:styleId="a3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7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FootnoteTextChar">
    <w:name w:val="Footnote Text Char"/>
    <w:basedOn w:val="a0"/>
    <w:uiPriority w:val="99"/>
    <w:semiHidden/>
    <w:qFormat/>
    <w:rPr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EndnoteTextChar">
    <w:name w:val="Endnote Text Char"/>
    <w:basedOn w:val="a0"/>
    <w:uiPriority w:val="99"/>
    <w:semiHidden/>
    <w:qFormat/>
    <w:rPr>
      <w:sz w:val="20"/>
      <w:szCs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-">
    <w:name w:val="Интернет-ссылка"/>
    <w:uiPriority w:val="99"/>
    <w:unhideWhenUsed/>
    <w:rPr>
      <w:color w:val="000080"/>
      <w:u w:val="single"/>
    </w:rPr>
  </w:style>
  <w:style w:type="character" w:styleId="a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b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d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e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f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f0">
    <w:name w:val="Верхний колонтитул Знак"/>
    <w:basedOn w:val="a0"/>
    <w:uiPriority w:val="99"/>
    <w:qFormat/>
  </w:style>
  <w:style w:type="character" w:customStyle="1" w:styleId="af1">
    <w:name w:val="Нижний колонтитул Знак"/>
    <w:basedOn w:val="a0"/>
    <w:uiPriority w:val="99"/>
    <w:qFormat/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Arial"/>
    </w:r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footnote text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9">
    <w:name w:val="endnote text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a">
    <w:name w:val="TOC Heading"/>
    <w:uiPriority w:val="39"/>
    <w:unhideWhenUsed/>
    <w:qFormat/>
    <w:rPr>
      <w:sz w:val="22"/>
    </w:rPr>
  </w:style>
  <w:style w:type="paragraph" w:styleId="afb">
    <w:name w:val="table of figures"/>
    <w:basedOn w:val="a"/>
    <w:next w:val="a"/>
    <w:uiPriority w:val="99"/>
    <w:unhideWhenUsed/>
    <w:qFormat/>
    <w:pPr>
      <w:spacing w:after="0"/>
    </w:pPr>
  </w:style>
  <w:style w:type="paragraph" w:styleId="afc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d">
    <w:name w:val="Subtitle"/>
    <w:basedOn w:val="a"/>
    <w:next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Intense Quote"/>
    <w:basedOn w:val="a"/>
    <w:next w:val="a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eastAsia="zh-CN"/>
      <w14:ligatures w14:val="none"/>
    </w:rPr>
  </w:style>
  <w:style w:type="paragraph" w:customStyle="1" w:styleId="aff0">
    <w:name w:val="Верхний и нижний колонтитулы"/>
    <w:basedOn w:val="a"/>
    <w:qFormat/>
  </w:style>
  <w:style w:type="paragraph" w:styleId="aff1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2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  <w:spacing w:after="160" w:line="259" w:lineRule="auto"/>
    </w:pPr>
    <w:rPr>
      <w:rFonts w:eastAsia="Times New Roman" w:cs="Calibri"/>
      <w:sz w:val="22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5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E31BA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customStyle="1" w:styleId="11">
    <w:name w:val="Основной шрифт абзаца1"/>
    <w:rsid w:val="006A2A06"/>
  </w:style>
  <w:style w:type="paragraph" w:customStyle="1" w:styleId="TableContents">
    <w:name w:val="Table Contents"/>
    <w:basedOn w:val="Standard"/>
    <w:rsid w:val="003E5BB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93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97352-0BEC-4E3E-A864-F0250424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Плакида Ирина</dc:creator>
  <cp:lastModifiedBy>Донец Дарья Евгеньевна</cp:lastModifiedBy>
  <cp:revision>2</cp:revision>
  <dcterms:created xsi:type="dcterms:W3CDTF">2026-04-27T13:33:00Z</dcterms:created>
  <dcterms:modified xsi:type="dcterms:W3CDTF">2026-04-27T13:33:00Z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