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9"/>
        <w:pBdr/>
        <w:bidi w:val="false"/>
        <w:spacing w:after="278" w:before="363" w:line="240" w:lineRule="auto"/>
        <w:ind w:right="0" w:firstLine="709" w:left="0"/>
        <w:contextualSpacing w:val="tru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АНТИМОНОПОЛЬНАЯ ПОЛИТИКА </w:t>
        <w:br/>
        <w:t xml:space="preserve">УПРАВЛЕНИЯ ГОРОДСКОГО ХОЗЯЙСТВА ГОРОДА КАЛУГИ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12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целей настоящей политики используются следующие основные понятия: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Антимонопольная комплаенс-система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система мероприятий и процедур, разработанных и применяемых управлением городского хозяйства города Калуги (далее - Управление) для целей обеспечения соответствия требованиям антимонопольного законодательства и предупреждению его нарушений.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Антимонопольное законодательство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федеральные законы Российской Федерации, регулирующее отношения, связанные с защитой конкуренции в понимании Федерального закона Российской Федерации от 26.07.2006 № 135-ФЗ «О защите конкуренции» (далее – Закон о защите конкуренции).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Антимонопольные риски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сочетание вероятности и степени воздействия (тяжести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неблагоприятных последствий) в результате несоблюдения антимонопольного законодательства или кодексов поведения, касающихся деятельности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Антимонопольный аудит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комплексная проверка деятельности Управления с целью оценки его соответствия антимонопольному законодательству и выявления антимонопольных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Антимонопольный орган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Федеральная антимонопольная служба Российской Федерации и её территориальные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орган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орган исполнительной власти, орган государственной власти субъекта Российской Федерации, орган местного самоуправления, иные осуществляющие функции указанных органов органы или организации, а также государственные внебюджетные фонды.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Контрагент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лицо, с которым Управление связано обязательствами или такие обязательства могут возникнуть в будущем.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Ответственное подразделение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структур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ное подразделение или сотрудник Управления, ответственные за функционирование и поддержание антимонопольной комплаенс-системы, внедрение мер по соблюдению антимонопольного законодательства в Управлении,  выявление и предотвращение нарушений в данной сфере.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Политика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настоящая антимонопольная политика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Руководство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руководители структурных подразделений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Сотрудник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работник, вступивший с Управлением в трудовые отношения.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_gjdgxs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настоящей политике используются иные термины и определения, не предусмотренные в настоящем перечне, подлежащие толкованию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осознаёт значимость и важность обеспечения свободной и добросовестной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Надлежащее исполнение требований законодательства Росс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как со стороны Управления, так и со стороны третьих лиц (по отношению к Управлению).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рамках своей деятельности  Управление стремится соблюдать все применимые требования законодательства Российской Федерации, включая требования антимонопольного законодательства,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ставит перед собой следующие цели: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выразить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приверженность Управления принципам законности, прозрачности деятельности;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изложить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основополагающие принципы и правила, направленные на недопущение и предотвращение нарушений антимонопольного законодательств;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обеспечить наличие дополнительных гарантий недискриминационного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сотрудничества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Управления со всеми контрагентами;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осведомлённость сотрудников об общих требованиях антимонопольного законодательства, об ответственности за их нарушение, а также о существующих в Управлении механизмах, обеспечивающих его соблюдение;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правила и определить круг мер, направленных на совершенствование внутренней культуры Управления, внедрение, развитие и соблюдение лучших практик управления, а также стандартов и принципов делового поведения.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Настоящая политика описывает сферу применения антимонопольного законодательства и его основные запреты, устанавливает обязательные для сотрудников правила пов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едения, направленные на недопущение нарушений антимонопольного законодательства, предусматривает внедрение и развитие мер, направленных на предотвращение нарушений антимонопольного законодательства, в том числе путём информирования и обучения сотрудников.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этом не явл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яется исчерпывающей в перечне ситуаций, в которых могут возникнуть риски нарушения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Настоящая политика разработана в соответствии с действующим законодательством Российской Федерации и правоприменительной практикой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регламентирует деятельность всех подразделений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должностных лиц Управления. Руководство должно задавать стандарт поведения и личным примером формировать у сотрудников понимание недопустимости и неприятие действий, которые могут привести к ограничению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Сотрудники отвечают за знание требований антимонопольного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аконодательства и понимание серьёзности последствий, к которым может привести их несоблюдение, а также за свою готовность идентифицировать и рассматривать в свете антимонопольного законодательства ситуации, в которых могут возникнуть антимонопольные риски.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Руководство ознакомлено с содержанием антимонопольной комплаенс-системы, выделяет для её реализации необходимые ресурсы, осуществляет контроль её внедрения и эффективность исполнения.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Руководство выступает гарантом выполнения правил и процедур, установленных настоящей политикой.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стоящая политика применяется во взаимосвязи с иными локальными нормативными актами Управления, регламентирующими мероприятия антимонопольной комплаенс-системы. В целях минимизации антимонопольных рисков каждый сотрудник принимает на себя обязательство собл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юдать требования настоящей политики, локальных нормативных актов Управления в области антимонопольного регулирования, положений антимонопольного законодательства, а также выражает готовность нести ответственность в случае совершения неправомерных действий.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Настоящая политика является основой для разработки внутренних документов, регламентирующих процессы, связанные с функционированием антимонопольной комплаенс-системы в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Изменения и дополнения в настоящую политику вносятся решением руководства по мере необходимости, в том числе при изменении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Сфера применения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993"/>
        </w:tabs>
        <w:bidi w:val="false"/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Политика применяется в отношении всех сотрудников управления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510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3.2. Ознакомление с настоящей политикой является обязательным. Обязательное ознакомление сотрудников осуществляется под подпись. Ознакомление с настоящей политикой может осуществляться с помощью системы электронного документооборота.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Принципы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Независимость, самостоятельность и открытость Управления.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Упра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вление заявляет о приверженности принципам соблюдения требований антимонопольного законодательтва. При необходимости Управление информирует контрагентов и иных лиц о принятых в Управлении мерах, направленных на соблюдение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Риск-ориентированность.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целях повышения эффективности управления антимонопольными рисками в Управлении применяется риск-ориентированный подход, предусматривающий снижение и (или) полное исключение рисков нарушения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Ответственность.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Вне зависимости от занимаемой должности в Управлении сотрудники и руководство несут персональную ответственность за допущенные нарушения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Непрерывность.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Антимонопольная комплаенс-система функционирует в непрерывном процессе. Упра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вление осуществляет непрерывный контроль соблюдения антимонопольного законодательства в целях своевременной идентификации антимонопольных рисков и выявления признаков нарушения антимонопольного законодательства, а также в целях предупреждения их появления.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Взаимодействие и координация.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 целью полного выявления и пресечения антимонопольных рисков структурные подразделения, сотрудники и руководство действуют на основе чёткого и эффективного взаимодействия с ответственным подразделением.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1"/>
          <w:numId w:val="1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Развитие и совершенствование антимонопольной комплаенс-системы.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Антимонопольная комплаенс-система постоянно совершенствуется и адаптируется к изменениям внутренней и внешней среды.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bidi w:val="false"/>
        <w:spacing w:after="119" w:before="238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Запрет на ограничивающие конкуренцию акты, действия (бездействия),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bidi w:val="false"/>
        <w:spacing w:after="119" w:before="238" w:line="360" w:lineRule="auto"/>
        <w:ind w:right="0" w:firstLine="0" w:left="1068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соглашения, согласованные действия органов власти, организаций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after="0" w:before="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 При осуществлении своей деятельности Управление взаимодействует с различными органами власти, организациями.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after="0" w:before="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5.2. Одними из наиболее серьёзных нарушений является принятие актов ограничивающих конкуренцию, заключение соглашений, а также совершение согласованных действий органов власти, организаций, направленных на недопущение, ограничение, устранение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after="0" w:before="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5.3. Для признания 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антиконкурентным достаточно введения необоснованных ограничений, установления запретов, предоставления преференций в нарушение требований антимонопольного законодательства и в случаях не предусмотренных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5.4. Для признания соглашения антиконкурентным достаточно договорённости сторон, которая потенциально может привести к недопущению, ограничению или устранению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5.5. Помимо запрета на заключение антиконкурентных соглашений антимонопольное законодательство содержит запрет на осуществление согласованных действий, которые приво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дят или могут привести к недопущению, ограничению, устранению конкуренции. Согласованными действиями являются синхронные действия, которые осуществляются без заключения соглашения, но при этом приводят к аналогичным негативным последствиям для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5.6. Во избежание антимонопольных рисков любые решения Управления принимаются в соответствии с принципом свободной конкуренции.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гласно данному принципу действия участников товарных рынков должны быть самостоятельны и независимы друг от друга. В целях соблюдения вышеперечисленных положений антимонопольного законодательства Управление и сотрудники придерживаются нижеследующих правил.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5.6.1.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и сотрудникам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не следует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достигать устных или письменных договорённостей с участниками товарных рынков по вопросам: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установления тех или иных барьеров для входа или выхода хозяйствующих субъектов с товарного рынка, устранению с него хозяйствующих;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создания дискриминационных условий;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создавать препятствия для доступа сторонних организаций на товарный рынок.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5.6.2.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и сотрудникам следует: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немедленно прекращать любое обсуждение действий, которые потенциально могут привести к ограничению конкуренции, и сообщать о случившемся ответственному подразделению;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избегать любых соглашений и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воздерживаться от публичных заявлений, которые могут быть восприняты участниками товарных рынков как призыв к действию (осуществление определенных действий).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Взаимодействие 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участниками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товарных рынков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6.1. При осуществлении своей деятельности Упр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авление может взаимодействовать с различными участниками товарных рынков,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 и государственных контрактов.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 Управлению, руководству и сотрудникам при взаимодей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ствии с участниками товарных рынков следует принимать во внимание, что любая документация и информация, передаваемая участникам товарных рынков, может быть использована в качестве доказательства при рассмотрении дел в антимонопольном органе и (или) в суде.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6.3. Управлению и сотрудникам следует оказывать необходимую поддержку участникам товарных рынков путём предоставления ответов на запросы информации, взаимодействия в рамках публичных конференций и совещаний, заключения муниципальных контрактов.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6.4. Несмотря на то, что сотрудничество с участниками товарных рынков является неотъемлемой 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астью деятельности Управления и, зачастую, её обязанностью, оно тоже попадает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6.5. Любое взаимодействие с участниками товарных рынков, выходящее за пределы имеющихся у Управления полномочий, следует осуществлять при непосредственном участии ответственного подразделения.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6.5.1.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 и сотрудникам не следует: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допускать заключение соглашений и осуществление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допускать заключение антиконкурентных соглашений с участниками товарных рынков, направленных на предоставление участникам товарных рынков каких-либо преференций, победы при участии в государственных закупках.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6.5.2.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и сотрудникам следует: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немедленно прекращать обсуждение действий, которые противоречат принципам и правилам, изложенным в настоящей политике, если участник товарного рынка обращается с предложением их обсудить, и сообщать о случившемся ответственному подразделению;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осуществлять свои полномочия независимо от участников товарных рынков;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Взаимодействие с Государственными органами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 Государственным органом, осуществляющим контроль соблюдения антимонопольного законодательства, является антимонопольный орган.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 В рамках своей деятельности Управление может взаимодействовать с государственными органами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7.3. Несмотря на то, что сотрудничество с государственными органами является составным элементом деятельности Управления и, зачастую, его обязанностью, оно также подпадает в сферу дейс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законодательства, а также иными действующими законодательными актами и внутренними требованиями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7.4. Любое взаимодействие с антимонопольным органом следует осуществлять при непосредственном участии ответственного подразделения.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7.5. При взаимодействии как с антимонопольным органом, так и с другими государственными органами Управление и сотрудники придерживаются нижеследующих правил.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7.5.1.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и сотрудникам не следует: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препятствовать государственным органам в осуществлении их полномочий, в том числе путём уклонения от представления запрошенной ими информации;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заключать соглашения с участниками товарных рынков, контрагентами, направленные на получение Управлением каких-либо необоснованных преимуществ.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Управлению и сотрудникам следует: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 предоставлять необходимые документы или информацию по запросам государственных органов, в рамках полномочий конкретного государственного органа;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оказывать необходимое содействие антимонопольным органом при осуществлении данными органами своих полномочий;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соблюдать внутренние процедуры при получении запросов антимонопольного органа или иного взаимодействия с ним;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возникновении любых вопросов или спорных ситуаций при взаимодействии с антимонопольным органом обращаться за консультацией к ответственному подразделению.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Ответственность за нарушения антимонопольного законодательства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pBdr/>
        <w:bidi w:val="false"/>
        <w:spacing w:after="0" w:before="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8.1. За нарушения антимонопольного законодательства Управление и сотрудники могут быть привлечены к административной и гражданско-право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вой ответственности. В предусмотренных законодательством случаях сотрудники могут быть привлечены к уголовной ответственности. При этом незнание требований и запретов, установленных законодательством Российской Федерации, не освобождает от ответственности.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0"/>
          <w:numId w:val="0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8.2.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Административная ответственность.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Антимонопольный орган вправе привлекать к ответственности за нарушение требований Закона о защите конкуренции. В отношении должностных лиц может быть применена мера административной ответственности в виде штрафа или дисквалификации.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0"/>
          <w:numId w:val="0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8.3.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Уголовная ответственность.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уголовной ответственности могут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быть привлечены только физические лица, а именно руководство и сотрудники. К данным лицам могут быть применены меры уголовной ответственности в виде лишения свободы с лишением права занимать определенные должности или заниматься определенной деятельностью.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0"/>
          <w:numId w:val="0"/>
        </w:numPr>
        <w:pBdr/>
        <w:tabs>
          <w:tab w:val="left" w:leader="none" w:pos="993"/>
        </w:tabs>
        <w:bidi w:val="false"/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8.4.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Гражданско-правовая ответственность.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Гражданско-правовая ответственность заключается в возможности взыскания убытков, понесенных лицом в резуль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тате нарушения его прав и законных интересов. При этом необходимо помнить, что применение мер административной и (или) уголовной ответственности за нарушения антимонопольного законодательства не исключает применения мер гражданско-правовой ответственности.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8.5.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Дисциплинарная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ответственность.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сотрудникам, нарушившим требования настоящей политики и антимонопольного законодательства, могут быть применены меры дисциплинарной ответственности.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8.6. Антимонопольный орган вправе обязать Управление выполнить определенные действия, которые могут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ивести к существенным негативным последствиям, в том числе финансового характера. Кроме того, признание в действиях Управления и (или) его сотрудников нарушения антимонопольного законодательства может отрицательно сказаться на деловой репутации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Антимонопольная комплаенс-система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spacing w:after="120" w:before="240" w:line="360" w:lineRule="auto"/>
        <w:ind w:right="0" w:firstLine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9.1. Внедрение антимонопольной комплаенс-системы направлено на минимизацию антимонопольных рисков Управления. Антимонопольная комплаенс-система в Управлении служит следующим целям: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обеспечение соответствия деятельности Управления требованиям антимонопольного законодательства, а также профилактика, выявление и пресечение нарушений антимонопольного законодательства;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минимизация рисков нарушения антимонопольного законодательства и иного применимого законодательства Российской Федерации в связи с осуществлением возложенных на Управление полномочий;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снижение рисков возбуждения антимонопольными органами дел, выдачи предписаний и наложения штрафов;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повышение деловой репутации;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предотвращение исков о возмещении ущерба, причиненного нарушением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Элементы антимонопольной комплаенс-системы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10.1. Антимонопольная комплаенс-система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сновывается на следующих ключевых элементах, призванных обеспечить эффективное предупреждение рисков нарушения антимонопольного законодательства. Перечисленные ключевые элементы определяют направление развития и стратегию антимонопольной комплаенс-системы.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10.2.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Локальные нормативные акты.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Необходимым условием является принятие локальных нормативных актов Управления, выполняющих следующие функции: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определение порядка взаимодействия структурных подразделений управления;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устанавливающие круг сотрудников и структурных подразделений, ответственных за выполнение мероприятий 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определяющие сферы деятельности управления, наиболее подверженные антимонопольным рискам;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определение порядка выявления и оценки антимонопольных рисков;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устанавливающие ключевые показатели и порядок оценки эффективности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описывающие мероприятия, направленные на снижение рисков нарушения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10.3.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Антимонопольный аудит.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Управлении не реже 1 раза в год проводится антимонопольный аудит.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10.4. Антимонопольный аудит проводится ответственным подразделением. При необходимости для проведения антимонопольного аудита могут привлекаться другие структурные подразделения Управления и (или) внешние организации.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10.5. Поводами для проведения антимонопольного аудита могут являться: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информация, опубликованная в средствах массовой информации, размещенная в сети Интернет;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обращения (заявления, жалобы), поступившие в Управление от физических и юридических лиц;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информация, запросы, поступившие в Управление от государственных органов;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результаты тестирования знаний сотрудников относительно требований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иная информация, ставшая известной ответственному подразделению.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10.6. Результаты антимонопольного аудита оформляются докладом об антимонопольном комплаенсе, составляемым ответственным подразделением, возможно совместно с привлеченными структурными подразделениями и организациями.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10.7. Результаты антимонопольного аудита могут быть использованы в следующих целях: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актуализация карты антимонопольных рисков;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 или уточнение мероприятий по минимизации антимонопольных рисков;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 мер по совершенствованию антимонопольной комплаенс-системы;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 мер по стимулированию сотрудников;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 мер по совершенствованию механизма взаимодействия с контрагентами и участниками товарных рынков;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 мер по совершенствованию механизма взаимодействия с контрагентами и участниками товарных рынков.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10.8. Механизм управления антимонопольными рисками.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Управлении действует упорядоченный механизм управления антимонопольными рисками, выражающийся 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оперативной обратной связи между руководством, сотрудниками и ответственным подразделением;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мотивации сотрудников (в том числе путём применения санкций и поощрений), направленной на соблюдение требований антимонопольного законодательства и политики;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осуществлении специальных внутренних мероприятий по выявлению и минимизации антимонопольных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10.9. Обучение.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Образовательные мероприятия могут проводиться в следующих формах или их сочетании: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презентаций, тренингов и семинаров для руководства и сотрудников;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тестирования знаний сотрудников в порядке, предусмотренном внутренними процедурами и правилами Управления;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информирования руководства и сотрудников об изменениях и новейших тенденциях в области антимонопольного законодательства.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10.10. Обучение должно быть направлено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формирование у сотрудников необходимых знаний и навыков соблюдения положений антимонопольного законодательства. Прохождение сотрудниками обучения подтверждает осведомленность сотрудников относительно применимых требований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993"/>
        </w:tabs>
        <w:spacing w:after="0" w:before="120"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10.11.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Антимонопольная экспертиза.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целях выявления антимонопольных рисков антимонопольной экспертизе могут подлежать: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действующие нормативных правовые акты Управления;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проекты нормативных правовых актов Управления;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действующие соглашения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различными органами власти, организациями;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проекты соглашений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различными органами власти, организациями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муниципальные  контракты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10.12. Антимонопольная экспертиза на предмет соответствия антимонопольному законодательству включает в себя следующие элементы: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проверка наличия обязательных реквизитов, полей, сведений, предусмотренных антимонопольным законодательством;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проверка отсутствия положений, прямо запрещенных антимонопольным законодательством;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проверка соответствия информации о процедуре заключения контракта законодательным требованиям относительно процедуры заключения контракта, если таковая предусмотрена антимонопольным законодательством или внутренними правилами Управления;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проверка принципов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10.13. Антимонопольная экспертиза может не ограничиваться перечисленными вопросами. Предметом проверки могут быть любые положения, их взаимное расположение и взаимосвязи, порождающие дополнительный смысл.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Ответственное подразделение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11.1. Состав и руководитель ответственного подразделения назначаются руководством.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11.2. Основными функциональными обязанностями ответственного подразделения являются: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разработка, согласование и внедрение нормативной документации, обеспечивающей развитие и функционирование 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координация и методологическое обеспечение мероприятий 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контроль за функционированием 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выявление рисков нарушения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инициирование мероприятий по минимизации рисков нарушения антимонопольного законодательства в Управлении;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информирование сотрудников, в зоне ответственности которых имеются соответствующие антимонопольные риски, и руководства о выявленных рисках;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выдача разъяснений сотрудникам по вопросам соблюдения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прием и рассмотрение обращений (в том числе анонимных) о возможных нарушениях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проведение проверок информации о признаках нарушений антимонопольного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участие в проведении внутренних расследований с целью проверки информации о признаках нарушений антимонопольного законодательства (в том числе на основании поступивших обращений);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ведение статистики и предоставление отчётности о функционировании антимонопольной комплаенс-системы;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внесение предложений по совершенствованию антимонопольной комплаенс-системы.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993"/>
        </w:tabs>
        <w:spacing w:after="0" w:before="0" w:line="360" w:lineRule="auto"/>
        <w:ind w:right="0" w:firstLine="284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spacing w:after="120" w:before="240" w:line="360" w:lineRule="auto"/>
        <w:ind w:right="0" w:firstLine="0"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Взаимодействие с ответственным подразделением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12.1. За консультациями по вопросам соблюдения антимонопольного закон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одательства или для передачи информации о фактах нарушения антимонопольного законодательства руководству и сотрудникам следует обращаться в ответственное подразделение посредством письменного обращения путем его направления одним или несколькими способами: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помощью системы электронного документооборота;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посредством письменного обращения;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посредством электронной почты.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12.2. Обращения по вопросам нарушения политики или антимонопольного законодательства рассматриваются ответственным подразделением.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12.3. Поступающая в ответственное подразделение информация подлежит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етальной обработке с последующим принятием решения по рассматриваемому вопросу. При выявлении признаков нарушения антимонопольного законодательства или положений настоящей политики ответственное подразделение инициирует процедуру внутреннего расследования.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12.4. Управление гарантирует для сотрудников безопасность и отсутствие негативных последствий, связанных непосредственно с обращением в ответственное подразделение.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ageBreakBefore w:val="true"/>
        <w:pBdr/>
        <w:spacing w:after="0" w:before="0" w:line="240" w:lineRule="auto"/>
        <w:ind w:right="0" w:firstLine="0" w:left="6237"/>
        <w:contextualSpacing w:val="tru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0" w:before="0" w:line="240" w:lineRule="auto"/>
        <w:ind w:right="0" w:firstLine="0" w:left="6237"/>
        <w:contextualSpacing w:val="tru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приказу управления ________ от_________2025  №_____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280" w:before="280" w:line="36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РУКОВОДСТВО</w:t>
        <w:br/>
        <w:t xml:space="preserve">ПО ВЫЯВЛЕНИЮ И ОЦЕНКЕ АНТИМОНОПОЛЬНЫХ РИСКОВ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spacing w:after="120" w:before="280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целей настоящего руководства используются следующие основные понятия: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Антимонопольное законодательство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федеральные законы Российской Федерации, регулирующее отношения, связанные с защитой конкуренции в понимании Федерального закона Российской Федерации от 26.07.2006 № 135-ФЗ «О защите конкуренции» (далее – Закон о защите конкуренции).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Антимонопольная комплаенс-система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система мероприятий и процедур, разработанных и применяемых Управлением для целей обеспечения соответствия требованиям антимонопольного законодательства и предупреждению его нарушений.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Антимонопольные риски (риски)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сочетание вероятности и степени воздействия (тяжести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неблагоприятных последствий) в результате несоблюдения антимонопольного законодательства или кодексов поведения, касающихся деятельности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Инцидент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это событие, повлекшее неблагоприятные последствия для Управлении в результате несоблюдения антимонопольного законодательства или кодексов поведения, касающихся деятельности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Вероятность (риска)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степень возможности реализации определенного события в долгосрочной перспективе. Вероятность зависит от сочетания таких факторов, как: деятельность, подверженность опасности, частота события.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Выявление риска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систематический и структурированный процесс, при котором выявляются источники опасности, имеющиеся или возникающие в деятельности Управления, и производится их идентификация.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Тяжесть (риска)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характеристика риска, наряду с вероятностью возникновения определяющая степень нанесенного вреда или ущерба (финансового, репутационного) в результате реализации нежелательного события.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Оценка риска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процесс, используемый для определения вероятности (или частоты) и степени воздействия (тяжести) последствий реализации опасностей. Оценка риска включает анализ вероятности, анализ последствий и их сочетания.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Матрица рисков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это графическое и текстовое описание, которое обеспечивает качественный анализ уровня риска, реализации нежелательного события, наступления неблагоприятных последствий.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Уровень риска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основной показатель общей оценки тяжести риска.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Регулирование (минимизация) риска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комплекс мер по снижению вероятности наступления негативных последствий или поддержанию на приемлемом уровне.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Ответственное подразделение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структурное подразделение или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отрудник организации, ответственные за функционирование и поддержание антимонопольной комплаенс-системы, внедрение мер по соблюдению антимонопольного законодательства в организации, их совершенствование, выявление и предотвращение нарушений в данной сфере.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управление городского хозяйства города Калуги.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Сотрудник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работник, вступивший с Управлением в трудовые отношения.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spacing w:after="120" w:before="280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Механизм управления рисками является одним из ключевых элементов антимонопольной комплаенс-системы Управления, обеспечивающих эффективное предупреждение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 Управление риск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 включает в себя выявление, оценку и регулирование рисков с последующим их устранением в первую очередь там, где это практически возможно. В случаях, когда устранение рисков невозможно, минимизировать их настолько, насколько это практически осуществимо.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2.3. Управление рисками важно по трем причинам: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pBdr/>
        <w:tabs>
          <w:tab w:val="left" w:leader="none" w:pos="1134"/>
        </w:tabs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Реализация Управлением возложенных полномочий возможна без нарушений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pBdr/>
        <w:tabs>
          <w:tab w:val="left" w:leader="none" w:pos="1134"/>
        </w:tabs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Надлежащее исполнение требований законодательства Российской Федерации и недопущение неправомерных действий является одним из приоритетов деятельности Управления.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pBdr/>
        <w:tabs>
          <w:tab w:val="left" w:leader="none" w:pos="1134"/>
        </w:tabs>
        <w:spacing w:after="0" w:before="0"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всех необходимых мер для предотвращения неправомерных действий как со стороны Управления, так и со стороны третьих лиц (по отношению к Управлению) оправдано.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4"/>
        </w:numPr>
        <w:pBdr/>
        <w:tabs>
          <w:tab w:val="left" w:leader="none" w:pos="1134"/>
        </w:tabs>
        <w:spacing w:after="0" w:before="0"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Сотрудники Управления должны быть вовлечены в процессы выявления, оценки и регулирования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0" w:before="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2.4. Управление рисками – это постоянный процесс, который не должен носить исключительно плановый характер. В организации должна быть обеспечена возможность выявления, оценки и регулирования рисков в любое время, в том числе: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этого не было сделано ранее;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когда риск был выявлен;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когда изменения в деятельности организации могут повлиять на изменения степени угрозы рисков. Например, при добавлении или снятие полномочий;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часть реагирования на инцидент, даже если совершенное деяние не повлекло привлечения к ответственности;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когда становится доступной новая информация о риске или у сотрудников возникли опасения о риске;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инициативе ответственного подразделения.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851"/>
        </w:tabs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2.5. Регулирование рисков предпочтительнее их наступления,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равно устранения неблагоприятных последствий.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widowControl w:val="true"/>
        <w:numPr>
          <w:ilvl w:val="0"/>
          <w:numId w:val="0"/>
        </w:numPr>
        <w:pBdr/>
        <w:bidi w:val="false"/>
        <w:spacing w:after="0" w:before="120" w:line="360" w:lineRule="auto"/>
        <w:ind w:right="0" w:hanging="227" w:left="794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2.6. Обязанности.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2.6.1. Обязанность за сбор данных необходимых для выявления и оценки рисков возложена на ответственное подразделение.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2.6.2. Ответственное подразделение обязано консультироваться со структурными подразделениями Управления в ходе выявления, оценки и регулирования рисков.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2.6.3. Структурные подразделения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обязаны оказывать содействие ответственному подразделению в ходе выявления, оценки и регулирования рисков. Это подразумевает своевременное предоставление достоверной информации, конструктивных предложений и (или) замечаний по вопросам регулирования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spacing w:after="120" w:before="280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Выявление рисков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Отправной точкой механизма управления рисками является их выявление. Это связано с необходимостью периодически оценивать факторы, имеющие отношение к деятельности организации, такие как: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экономические события;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действующее законодательство Российской Федерации и изменения в него;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работы и мотивация сотрудников.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12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Перечисленные факторы оказывают динамическое воздействие, вследствие которого в определённых видах деятельности Управления могут возникать антимонопольные риски. Факторы воздействия можно разделить на две группы – внешние и внутренние.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12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Существуют три основных источника рисков (не путать с группами):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6"/>
        </w:numPr>
        <w:pBdr/>
        <w:tabs>
          <w:tab w:val="left" w:leader="none" w:pos="851"/>
        </w:tabs>
        <w:spacing w:after="0" w:before="0" w:line="36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Внутренние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риски, связанные с несоблюдением внутренних правил, политик и процедур.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6"/>
        </w:numPr>
        <w:pBdr/>
        <w:tabs>
          <w:tab w:val="left" w:leader="none" w:pos="851"/>
        </w:tabs>
        <w:spacing w:after="0" w:before="0" w:line="36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Внешние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риски, связанные с несоблюдением антимонопольного законодательства.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6"/>
        </w:numPr>
        <w:pBdr/>
        <w:tabs>
          <w:tab w:val="left" w:leader="none" w:pos="851"/>
        </w:tabs>
        <w:spacing w:after="0" w:before="0" w:line="360" w:lineRule="auto"/>
        <w:ind w:right="0" w:firstLine="567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Ситуационные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риски, связанные с участием Управления в разовых программах, мероприятиях в России или на территории иностранных государств.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12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Выявление внутренних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Каждое структурное подразделения, подчиняющееся непо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средственно руководству, составляет свой реестр внутренних рисков. Реестр внутренних рисков формируется структурным подразделением для помощи ответственному подразделению в определении стратегий обеспечения выполнения всеми сотрудниками своих обязанностей.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реестр внутренних рисков структурного подразделения включает категорию: «Несоблюдение ограничений и запретов, установленн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для муниципальных служащих». В этом случае такое структурное подразделение несёт ответственность за разработку комплекса мер, которые должны обеспечить максимальную эффективность антимонопольной комплаенс-системы, наравне с ответственным подразделением.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12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3.2.2.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Выявление внешних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Антимонопольное законодательство содержит ряд запретов и обязательных правил поведения, касающиеся деятельности Управления, за нарушение которых предусмотрены соответствующие санкции, репутационные потери и иные неблагоприятные для Управления последствия.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 внешних рисков формируется ответственным подразделением. Например, реестр может включать в себя такую категорию как «Несоблюдение Закона о защите конкуренции».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12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3.2.3.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Выявление ситуационных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Ситуационные риски могут возникнуть, когда Управление участвует или планирует принять участие в разовых программах или мероприятиях.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рабочая поездка, предполагающие выезд за пределы Российской Федерации или встреча с иностранной делегацией по вопросам, связанным с участием иностранных компаний в  муниципальных закупках для нужд города Калуги.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851"/>
        </w:tabs>
        <w:spacing w:after="0" w:before="28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Реестр ситуа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ционных рисков формируется структурным подразделением, ответственным за подготовку участия в конкретной программе или мероприятии, для помощи ответственному подразделению в определении стратегий обеспечения выполнения всеми сотрудниками своих обязанностей.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spacing w:after="120" w:before="280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Методы выявления рисков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При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выявлении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рисков, в том числе при выборе метода выявления рисков, ключевым обстоятельством является то, что такие методы и результаты 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 находятся под влиянием или, по крайней мере, не должны находиться под влиянием личных и групповых интересов, предвзятых взглядов, ценностных воззрений, а также других субъективных факторов. В противном случае полученные результаты подлежат аннулированию.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Приоритетными являются объективные методы, то есть методы,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обеспечивающие максимальную однозначность и надежность получаемых измеримых результатов. Субъективные методы, то есть методы, основанные на личных (субъективных) представлениях и понятиях, могут использоваться как дополнительные в сочетании с объективными.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0" w:before="28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5. В качестве методов выявления рисков могут быть использованы: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5.1. Анализ существующих ограничений и запретов.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Фактически это перечень федеральных законов Российской Федерации, регулирующих отношения, связанные с защитой конкуренции в понима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нии Закона о защите конкуренции, а также запреты и обязательные правила поведения, содержащиеся в них и касающиеся деятельности Управления, за нарушение которых предусмотрены соответствующие санкции, репутационные потери и иные неблагоприятные последствия.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5.2. Анализ правоприменительной практики.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Изучение реакции антимонопольных органов на инциденты. Например, количество возбужденных дел об административных правонарушениях или выданных предписаний.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5.3. Анализ инцидентов.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Запись инцидентов в регистр, проведение анализа перв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опричин и периодическое выполнение некоторых отчетов анализа тенденций для анализа инцидентов потенциально могут помочь выявить новые риски. Кроме того, высокая частота подобных инцидентов может быть индикатором риска потенциально более серьезной проблемы.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5.4. Анализ причин.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коренных причин выявленных рисков. Эти коренные причины в дальнейшем используются для выявления дополнительных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5.5. Интервью.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структурированного интервью респондентам задают набор подготовленных вопросов (например, типового опросника), чтобы побудить собеседника представить собственную точку зрения и, таким образом, определить риски.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Структурированные интервью часто используются во время консультаций с ключевыми заинтересованными сторонами при разработке структуры управления рисками. В качестве примера, структурированные интервью хороши для оценки склонности к риску.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5.6. Мозговой штурм (атака).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Мозговой штурм (атака) включает в себя группу людей, работающих вместе, чтобы определить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отенциальные риски, причины, способы отказа, опасности и критерии для принятия решений и (или) вариантов регулирования рисков. Этот метод предполагает стимулирование и поощрение свободного общения между группой знающих людей, не критикуя и не поощряя идеи.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5.7. Контрольные списки.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Контрольные списки – это предварительно заполненные списки рисков, которые были разработаны, как правило, из опыта либо в результате предыдущей оценки риска, либо в результате прошлых инцидентов.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Рекомендуется использовать контрольные списки рисков только в качестве вторичной формы идентификации рисков и контроля. Полное использование контрольных списков может ограничить «риск-мышление.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5.8. Метод структурированного подхода «Что, если… ?».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Это метод анализа перспективных рисков, при котором используются набор слов или фраз-подсказок, помогающие в процессе обсуждения участниками группы идентифицировать риски.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5.9. Сценарный анализ.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Тесно связан с методом структурного подхода «Что, если… ?». Метод описания и разработки моделей развития событий. Используется для идентификации риска путём рассмотрения возможных событий в будущем и исследования их значимости и последствий. Например: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«лучший случай»;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«худший случай»;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2"/>
        </w:numPr>
        <w:pBdr/>
        <w:tabs>
          <w:tab w:val="left" w:leader="none" w:pos="993"/>
        </w:tabs>
        <w:spacing w:after="0" w:before="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«ожидаемый случай»;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каждого сценария участники отражают и анализируют потенциальные последствия и потенциальные причины при анализе риска.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5.10. Анализ дерева отказов.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используется для выявления или анализа фа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кторов, которые могут способствовать определённому нежелательному событию (называемому главным или генеральным событием»). Причинные факторы затем идентифицируются и организуются в логической манере и представляются графически в виде древовидной диаграммы.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для снижения вероятности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нарушения Закона о защите конкуренции можно сформулировать цель в обратном порядке «Как мы можем нарушить Закон о защите конкуренции?». Эта цель станет отправной точкой, для выявления причин, которые могут привести к нарушению Закона о защите конкуренции.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0" w:before="120" w:line="360" w:lineRule="auto"/>
        <w:ind w:right="0" w:firstLine="425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5.11. Опросы.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Этот метод похож на структурированные интервью, но в нем участвует большее количество людей. Его можно использовать для сбора широкого набора идей, мыслей и мнений по ряду областей, охватывающих риски и эффективность контроля.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425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Позволяет оценить культуру риска организации. Может использоваться для оценки среды внутреннего контроля. Например, ежегодные опросы персонала позволяют оценить понимание персоналом ключевых рисков и процедур регулирования рисков.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spacing w:after="120" w:before="280" w:line="360" w:lineRule="auto"/>
        <w:ind w:right="0" w:firstLine="0" w:left="0"/>
        <w:contextualSpacing w:val="tru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6. Оценка рисков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6.1. Выявленные риски необходимо оценить для установления вероятности наступления каждого риска и его предполагаемого воздействия.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 Для оценки рисков рекомендуется использовать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матричный подход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Его суть заключается в нанесении рисков на сетку оценки для того, 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тобы исходя из предполагаемых степени вероятности и степени воздействия определить те риски, на которые необходимо обратить внимание в приоритетном порядке, и тот объем усилий и ресурсов, которые необходимы для снижения тех рисков, которые можно устранить.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6.3. Кроме этого, при оценке риска необходимо определить решение о способе представления данных, наилучшим образом отражающим структуру и (или) сферу деятельности.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6.4. Способ представления данных определяется ответственным подразделением, с учетом исключения вероятности влияния личных и групповых интересов, предвзятых взглядов, ценностных воззрений, а также других субъективных факторов.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6.5. В основе оценки рисков лежит тезис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чем больше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статистических данных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тем больше степень достоверности выводов об уровне риска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 При этом под «статистическими данными» следует понимать совокупность упорядоченных, классифицированных данных о некотором массовом явлении или процессе.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6.6. На основе оценки рисков составляются документы, отражающие и закрепляющие сведения о последовательно учитываемых элементах, и в идеальном варианте позв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оляющие сравнить выявленные предполагаемые собственные риски (или «совокупный риск») с остаточными рисками («чистым риском»), то есть рисками, оставшимися после принятия мер по их снижению или недопущению, обычно именуемыми средствами внутреннего контроля.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6.7. К типичным рискам, которые целесообразно учитывать,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злоупотребление полномочиями, в том числе принятие актов не допускающих, ограничивающих, устраняющих конкуренцию;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 соглашений, а также совершение согласованных действий, направленных на недопущение, ограничение, устранение конкуренции;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публичные выступления, содержание которых оказывает влияние на конкуренцию.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851"/>
        </w:tabs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6.8. Риски можно разделить на три основные группы: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7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Публичные выступления.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7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Нормативные правовые акты.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7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Соглашения.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0"/>
        </w:numPr>
        <w:pBdr/>
        <w:tabs>
          <w:tab w:val="left" w:leader="none" w:pos="851"/>
        </w:tabs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6.8.1. В свою очередь, к каждой из групп можно отнести следующие типичные риски: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8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Создание преимущественных и (или) дискриминационных условий осуществления деятельности хозяйствующими субъектами на товарном рынке.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8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Создание неравных условий доступа к государственному или муниципальному имуществу.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8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Ограничение конкуренции путем нарушения конкурсных принципов отбора хозяйствующих субъектов при размещении заказов (выполнении работ, оказании услуг).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33"/>
        <w:numPr>
          <w:ilvl w:val="0"/>
          <w:numId w:val="8"/>
        </w:numPr>
        <w:pBdr/>
        <w:tabs>
          <w:tab w:val="left" w:leader="none" w:pos="851"/>
        </w:tabs>
        <w:spacing w:after="0" w:before="0" w:line="360" w:lineRule="auto"/>
        <w:ind w:right="0" w:firstLine="426" w:left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Наделение хозяйствующего субъекта функциями и (или) правами органа власти, совмещение функций органа власти и функций хозяйствующих субъектов.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tabs>
          <w:tab w:val="left" w:leader="none" w:pos="450"/>
        </w:tabs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5) Необоснованное препятствование осуществлению деятельности, ограничение доступа на рыно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к. При оценке рисков не следует рассматривать «вероятность» применения мер ответственности в качестве фактора определения степени риска, то есть не должен проводиться анализ «затрат против выгод» при очевидно незаконном характере определенной деятельности.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6.9. К числу факторов, способных повлиять на восприимчивость управления к рискам можно отнести: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Действующее законодательство и правоприменительную практику.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Уровень внимания антимонопольных органов к определенным действиям или к определенным отраслям.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антимонопольных требований в прошлом.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Уровень квалификации сотрудников.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Текучесть кадров.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0"/>
          <w:numId w:val="0"/>
        </w:numPr>
        <w:pBdr/>
        <w:tabs>
          <w:tab w:val="left" w:leader="none" w:pos="851"/>
        </w:tabs>
        <w:bidi w:val="false"/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6.10. При управлении рисками первоочередной задачей является выявление ключевых рисков, то есть с высокой степенью риска. Своевременное выявление ключевых рисков позволяет сконцентрироваться на их первоочередном предотвращении.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widowControl w:val="true"/>
        <w:numPr>
          <w:ilvl w:val="0"/>
          <w:numId w:val="0"/>
        </w:numPr>
        <w:pBdr/>
        <w:tabs>
          <w:tab w:val="left" w:leader="none" w:pos="851"/>
        </w:tabs>
        <w:bidi w:val="false"/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6.11. Воздействие соответствующих рисков необходимо оценивать с учетом масштабов: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Отрицательного влияния на репутацию.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Штрафов, налагаемых на управление и  его должностных лиц.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Отвлечение внимания от основных видов деятельности.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Расходов на погашение издержек, обусловленных представлением и защитой интересов как самого управления, так и его должностных лиц в антимонопольных органах и суде. Например, транспортные и командировочные расходы.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Ничтожности договоров и (или) антиконкурентных положений.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Штрафов и в некоторых случаях лишения права заниматься определенной деятельностью и занимать определенные должности и привлечения к уголовной ответственности руководителей и сотрудников.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5"/>
        </w:numPr>
        <w:pBdr/>
        <w:tabs>
          <w:tab w:val="left" w:leader="none" w:pos="851"/>
        </w:tabs>
        <w:spacing w:line="360" w:lineRule="auto"/>
        <w:ind w:right="0"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Потери сотрудников в случае принятия внутренних мер дисциплинарного воздействия.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0"/>
        </w:numPr>
        <w:pBdr/>
        <w:tabs>
          <w:tab w:val="left" w:leader="none" w:pos="851"/>
        </w:tabs>
        <w:spacing w:line="360" w:lineRule="auto"/>
        <w:ind w:right="0" w:firstLine="0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6.12. Для оценки уровня риска можно использовать заранее определенные критерии, в том числе: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9"/>
        </w:numPr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ничтожный;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9"/>
        </w:numPr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незначительный;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9"/>
        </w:numPr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существенный;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9"/>
        </w:numPr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критический.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4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2328"/>
        <w:gridCol w:w="2272"/>
        <w:gridCol w:w="1884"/>
      </w:tblGrid>
      <w:tr>
        <w:trPr/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НИЧТОЖНЫЙ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32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НЕЗНАЧИТЕЛЬНЫЙ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СУЩЕСТВЕННЫЙ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8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КРИТИЧЕСКИЙ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32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8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ВОЗДЕЙСТВИЕ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Штрафы, или влияние на репутацию отсутствуют или являются незначительными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32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Предупреждение, минимальный штраф (в сумме, не превышающей определенного предельного размера («A»)) или влияние на репутацию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Существенные штрафы (в сумме, превышающей предельный размер «A», но менее предельного размера «В») и влияние на репутацию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8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Штрафы, в сумме свыше предельного размера «В» и влияние на репутацию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7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ВЕРОЯТНОСТЬ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Возникновение опасности/риска маловероятно (вероятность менее 10%)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 исключено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Зависит от соблюдения ограничений и запретов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32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Возникновение опасности/риска возможно (10-25%)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Сложно представить, но может произойти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Иногда может произойти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Зависит от соблюдения ограничений и запретов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Зависит от обучения (квалификации)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Возникновение опасности/риска вероятно (25-50%)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Зависит от случая, высокая степень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Периодически наступает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Зависит от обучения (квалификации)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8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Высокая вероятность возникновения опасности/риска (более 50%)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Обязательно наступит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Практически несомненно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9"/>
              <w:widowControl w:val="false"/>
              <w:numPr>
                <w:ilvl w:val="0"/>
                <w:numId w:val="10"/>
              </w:numPr>
              <w:pBdr/>
              <w:tabs>
                <w:tab w:val="left" w:leader="none" w:pos="273"/>
              </w:tabs>
              <w:spacing w:line="240" w:lineRule="auto"/>
              <w:ind w:right="0" w:hanging="11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Регулярное наступает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629"/>
        <w:pBdr/>
        <w:spacing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Связь категория рисков с матрицей рисков может быть представлена следующим образом: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4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615"/>
        <w:gridCol w:w="390"/>
        <w:gridCol w:w="1890"/>
        <w:gridCol w:w="1409"/>
        <w:gridCol w:w="1756"/>
        <w:gridCol w:w="1650"/>
        <w:gridCol w:w="1754"/>
      </w:tblGrid>
      <w:tr>
        <w:trPr>
          <w:trHeight w:val="460"/>
        </w:trPr>
        <w:tc>
          <w:tcPr>
            <w:gridSpan w:val="3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895" w:type="dxa"/>
            <w:vAlign w:val="center"/>
            <w:vMerge w:val="restart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РИСК (R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bscript"/>
              </w:rPr>
              <w:t xml:space="preserve">harm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656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ВЕРОЯТНОСТЬ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harm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bscript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gridSpan w:val="3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895" w:type="dxa"/>
            <w:vAlign w:val="center"/>
            <w:vMerge w:val="continue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gridSpan w:val="3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2895" w:type="dxa"/>
            <w:vAlign w:val="center"/>
            <w:vMerge w:val="continue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Ничтожный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Незначительный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 w:right="113" w:firstLine="0"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Воздействие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harm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3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tabs>
                <w:tab w:val="left" w:leader="none" w:pos="570"/>
              </w:tabs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d966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cc0000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cc0000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615" w:type="dxa"/>
            <w:vAlign w:val="center"/>
            <w:vMerge w:val="continue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3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d966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d966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cc0000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615" w:type="dxa"/>
            <w:vAlign w:val="center"/>
            <w:vMerge w:val="continue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3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Незначительный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d966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d966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615" w:type="dxa"/>
            <w:vAlign w:val="center"/>
            <w:vMerge w:val="continue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3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89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Ничтожный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93c47d"/>
            <w:tcBorders>
              <w:top w:val="single" w:color="010000" w:sz="8" w:space="0"/>
              <w:left w:val="single" w:color="010000" w:sz="8" w:space="0"/>
              <w:bottom w:val="single" w:color="010000" w:sz="8" w:space="0"/>
              <w:right w:val="single" w:color="010000" w:sz="8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line="36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629"/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оценке уровня риска степень вероятности и степень воздействия рассматриваются в совокупности, как правило, они умножаются.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0" w:before="28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 для уровня риска каждого риска может быть выражен как: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240" w:before="240" w:line="360" w:lineRule="auto"/>
        <w:ind w:right="0" w:firstLine="72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× S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= R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R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уровень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степень вероятности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S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степень воздействия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after="0" w:before="280"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перемножении степени вероятности (от 1 до 4) и воздействия (от 1 до 4) получится оценка уровень риска, которые имеет значения от 1 до 16.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допустим, что все риски, имеющие «ничтожную» степень воздействия и «незначительную» степень вероятности (то есть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(1) ×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(2) =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(2)), могут считатьсяприемлемыми, тогда как все остальные риски могут быть признаны неприемлемыми и требуют дальнейшего регулирования.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 есть риск определяется как сочетание вероятности причинения вреда и степени воздействия (серьёзности этого вреда).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Ключевой проблемой является то, что разные участники могут оценивать вероятность по-разному.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Следовательно, для моделирования степени вероятности требуется оценка составляющих её обстоятельств, которые и делают возможным наступление вредного события.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оценки степени вероятности, основанный на модели «швейцарского сыра», анализирует последовательность отказов в виде серии активных отказов и скрытых состояний, представленных в виде дыр в «швейцарском сыре».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Метафора швейцарского сыра представлена кусочками сыра с отверстиями, сложенными в ряд.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Чтобы причинить вред, отверстия должны быть выровнены, тем самым обеспечивая путь для возникновения опасного события. События, которые могут привести к ошибке   использования и причинить вред, представлены на рисунке как «кусочки сыра», а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размер дыры в сыре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представляет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величину вероятности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Вероятность воздействия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опасной ситуации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обозначена как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вероятность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опасной ситуации, приводящей к вреду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обозначено как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результирующая вероятность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(степень вероятности) возникновения вреда определяется как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P1×P2=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Практическая проблема заключается в том, что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может быть сложным для оценки, так как сам является продуктом совокупной комбинации дискретных вероятностей. Чтобы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улучшить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точность оценки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следует ввести две составляющие для получения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P1: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вероятность возникновения ошибки,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вероятность ошибки, вызывающей опасную ситуацию.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pBdr/>
        <w:spacing w:line="360" w:lineRule="auto"/>
        <w:ind w:right="0" w:firstLine="567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Следовательно, общая вероятность причинения вреда в результате ошибки может быть представлена как: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bscript"/>
          <w:lang w:val="en-US"/>
        </w:rPr>
        <w:t xml:space="preserve">harm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= 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×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 × P2.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keepNext w:val="true"/>
        <w:pBdr/>
        <w:tabs>
          <w:tab w:val="left" w:leader="none" w:pos="851"/>
        </w:tabs>
        <w:spacing w:line="360" w:lineRule="auto"/>
        <w:ind w:right="0" w:firstLine="851" w:left="0"/>
        <w:jc w:val="both"/>
        <w:rPr>
          <w:rFonts w:ascii="Times New Roman" w:hAnsi="Times New Roman" w:cs="Times New Roman"/>
          <w:b w:val="0"/>
          <w:bCs w:val="0"/>
          <w:color w:val="00000a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34562" cy="275399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7120575" name=""/>
                        <pic:cNvPicPr/>
                        <pic:nvPr/>
                      </pic:nvPicPr>
                      <pic:blipFill>
                        <a:blip r:embed="rId9"/>
                        <a:srcRect l="-51" t="-68" r="-51" b="-66"/>
                        <a:stretch/>
                      </pic:blipFill>
                      <pic:spPr bwMode="auto">
                        <a:xfrm>
                          <a:off x="0" y="0"/>
                          <a:ext cx="3634561" cy="2753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86.19pt;height:216.8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-1"/>
          <w:sz w:val="24"/>
          <w:szCs w:val="24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-1"/>
          <w:sz w:val="24"/>
          <w:szCs w:val="24"/>
          <w:lang w:val="ru-RU" w:eastAsia="ar-SA" w:bidi="ar-SA"/>
        </w:rPr>
      </w:r>
    </w:p>
    <w:p>
      <w:pPr>
        <w:pStyle w:val="629"/>
        <w:widowControl w:val="true"/>
        <w:pBdr/>
        <w:shd w:val="clear" w:color="auto" w:fill="ffffff"/>
        <w:tabs>
          <w:tab w:val="right" w:leader="none" w:pos="10146"/>
        </w:tabs>
        <w:bidi w:val="false"/>
        <w:spacing w:after="0" w:before="0" w:line="360" w:lineRule="auto"/>
        <w:ind w:right="0" w:firstLine="567" w:left="0"/>
        <w:jc w:val="both"/>
        <w:rPr>
          <w:rFonts w:eastAsia="Times New Roman" w:cs="Times New Roman"/>
          <w:b w:val="0"/>
          <w:bCs w:val="0"/>
          <w:i/>
          <w:iCs/>
          <w:color w:val="00000a"/>
          <w:spacing w:val="-1"/>
          <w:sz w:val="24"/>
          <w:szCs w:val="24"/>
          <w:highlight w:val="none"/>
          <w:lang w:val="ru-RU" w:eastAsia="ar-SA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-1"/>
          <w:sz w:val="24"/>
          <w:szCs w:val="24"/>
          <w:lang w:val="ru-RU" w:eastAsia="ar-SA" w:bidi="ar-SA"/>
        </w:rPr>
        <w:t xml:space="preserve">Рисунок: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a"/>
          <w:spacing w:val="-1"/>
          <w:sz w:val="24"/>
          <w:szCs w:val="24"/>
          <w:lang w:val="ru-RU" w:eastAsia="ar-SA" w:bidi="ar-SA"/>
        </w:rPr>
        <w:t xml:space="preserve">Модель количественной оценки причинения вреда в результате ошибки использования.</w:t>
      </w:r>
      <w:r>
        <w:rPr>
          <w:rFonts w:eastAsia="Times New Roman" w:cs="Times New Roman"/>
          <w:b w:val="0"/>
          <w:bCs w:val="0"/>
          <w:i/>
          <w:iCs/>
          <w:color w:val="00000a"/>
          <w:spacing w:val="-1"/>
          <w:sz w:val="24"/>
          <w:szCs w:val="24"/>
          <w:highlight w:val="none"/>
          <w:lang w:val="ru-RU" w:eastAsia="ar-SA" w:bidi="ar-SA"/>
        </w:rPr>
      </w:r>
      <w:r>
        <w:rPr>
          <w:rFonts w:eastAsia="Times New Roman" w:cs="Times New Roman"/>
          <w:b w:val="0"/>
          <w:bCs w:val="0"/>
          <w:i/>
          <w:iCs/>
          <w:color w:val="00000a"/>
          <w:spacing w:val="-1"/>
          <w:sz w:val="24"/>
          <w:szCs w:val="24"/>
          <w:highlight w:val="none"/>
          <w:lang w:val="ru-RU" w:eastAsia="ar-SA" w:bidi="ar-SA"/>
        </w:rPr>
      </w:r>
    </w:p>
    <w:p>
      <w:pPr>
        <w:pStyle w:val="629"/>
        <w:widowControl w:val="true"/>
        <w:pBdr/>
        <w:shd w:val="clear" w:color="auto" w:fill="ffffff"/>
        <w:tabs>
          <w:tab w:val="right" w:leader="none" w:pos="10146"/>
        </w:tabs>
        <w:bidi w:val="false"/>
        <w:spacing w:after="0" w:before="0" w:line="360" w:lineRule="auto"/>
        <w:ind w:right="0" w:firstLine="567" w:left="0"/>
        <w:jc w:val="both"/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pP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</w:p>
    <w:p>
      <w:pPr>
        <w:pStyle w:val="629"/>
        <w:widowControl w:val="true"/>
        <w:pBdr/>
        <w:shd w:val="clear" w:color="auto" w:fill="ffffff"/>
        <w:tabs>
          <w:tab w:val="right" w:leader="none" w:pos="10146"/>
        </w:tabs>
        <w:bidi w:val="false"/>
        <w:spacing w:after="0" w:before="0" w:line="360" w:lineRule="auto"/>
        <w:ind w:right="0" w:firstLine="567" w:left="0"/>
        <w:jc w:val="both"/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pP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  <w:r>
        <w:rPr>
          <w:rFonts w:eastAsia="Times New Roman" w:cs="Times New Roman"/>
          <w:b w:val="0"/>
          <w:bCs/>
          <w:i/>
          <w:color w:val="00000a"/>
          <w:spacing w:val="-1"/>
          <w:sz w:val="24"/>
          <w:szCs w:val="24"/>
          <w:lang w:val="ru-RU" w:eastAsia="ar-SA" w:bidi="ar-S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 2">
    <w:panose1 w:val="05000000000000000000"/>
  </w:font>
  <w:font w:name="Wingdings">
    <w:panose1 w:val="05000000000000000000"/>
  </w:font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Noto Sans Symbols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b/>
        <w:color w:val="00000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1500"/>
      </w:pPr>
      <w:rPr>
        <w:color w:val="000000"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93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243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9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3444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94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445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5028"/>
      </w:pPr>
      <w:rPr/>
      <w:start w:val="1"/>
      <w:suff w:val="tab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42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86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358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502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74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7189"/>
      </w:pPr>
      <w:rPr>
        <w:rFonts w:ascii="Noto Sans Symbols" w:hAnsi="Noto Sans Symbols" w:cs="Noto Sans Symbols"/>
        <w:color w:val="000000"/>
        <w:sz w:val="24"/>
        <w:szCs w:val="24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)"/>
      <w:numFmt w:val="lowerRoman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(%6)"/>
      <w:numFmt w:val="lowerRoman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40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360" w:left="612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Symbol" w:hAnsi="Symbol" w:cs="Symbol"/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0"/>
        </w:tabs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tabs>
          <w:tab w:val="num" w:leader="none" w:pos="0"/>
        </w:tabs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0"/>
        </w:tabs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0"/>
        </w:tabs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tabs>
          <w:tab w:val="num" w:leader="none" w:pos="0"/>
        </w:tabs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360" w:left="720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571"/>
      </w:pPr>
      <w:rPr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9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11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31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5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71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91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1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31"/>
      </w:pPr>
      <w:rPr>
        <w:rFonts w:ascii="Wingdings" w:hAnsi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9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11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31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5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71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91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1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31"/>
      </w:pPr>
      <w:rPr>
        <w:rFonts w:ascii="Wingdings" w:hAnsi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9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11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31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51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71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91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11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31"/>
      </w:pPr>
      <w:rPr>
        <w:rFonts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360" w:left="6480"/>
      </w:pPr>
      <w:rPr>
        <w:u w:val="none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  <w:sz w:val="18"/>
        <w:u w:val="none"/>
      </w:rPr>
      <w:start w:val="1"/>
      <w:suff w:val="tab"/>
    </w:lvl>
    <w:lvl w:ilvl="1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Wingdings 2" w:hAnsi="Wingdings 2" w:cs="Wingdings 2"/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2160"/>
      </w:pPr>
      <w:rPr>
        <w:rFonts w:ascii="OpenSymbol" w:hAnsi="OpenSymbol" w:cs="OpenSymbol"/>
        <w:u w:val="none"/>
      </w:rPr>
      <w:start w:val="1"/>
      <w:suff w:val="tab"/>
    </w:lvl>
    <w:lvl w:ilvl="3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2880"/>
      </w:pPr>
      <w:rPr>
        <w:rFonts w:ascii="Wingdings" w:hAnsi="Wingdings" w:cs="Wingdings"/>
        <w:u w:val="none"/>
      </w:rPr>
      <w:start w:val="1"/>
      <w:suff w:val="tab"/>
    </w:lvl>
    <w:lvl w:ilvl="4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3600"/>
      </w:pPr>
      <w:rPr>
        <w:rFonts w:ascii="Wingdings 2" w:hAnsi="Wingdings 2" w:cs="Wingdings 2"/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4320"/>
      </w:pPr>
      <w:rPr>
        <w:rFonts w:ascii="OpenSymbol" w:hAnsi="OpenSymbol" w:cs="OpenSymbol"/>
        <w:u w:val="none"/>
      </w:rPr>
      <w:start w:val="1"/>
      <w:suff w:val="tab"/>
    </w:lvl>
    <w:lvl w:ilvl="6">
      <w:isLgl w:val="false"/>
      <w:lvlJc w:val="left"/>
      <w:lvlText w:val=""/>
      <w:numFmt w:val="bullet"/>
      <w:pPr>
        <w:pBdr/>
        <w:tabs>
          <w:tab w:val="num" w:leader="none" w:pos="0"/>
        </w:tabs>
        <w:spacing/>
        <w:ind w:hanging="360" w:left="5040"/>
      </w:pPr>
      <w:rPr>
        <w:rFonts w:ascii="Wingdings" w:hAnsi="Wingdings" w:cs="Wingdings"/>
        <w:u w:val="none"/>
      </w:rPr>
      <w:start w:val="1"/>
      <w:suff w:val="tab"/>
    </w:lvl>
    <w:lvl w:ilvl="7">
      <w:isLgl w:val="false"/>
      <w:lvlJc w:val="left"/>
      <w:lvlText w:val=""/>
      <w:numFmt w:val="bullet"/>
      <w:pPr>
        <w:pBdr/>
        <w:tabs>
          <w:tab w:val="num" w:leader="none" w:pos="0"/>
        </w:tabs>
        <w:spacing/>
        <w:ind w:hanging="360" w:left="5760"/>
      </w:pPr>
      <w:rPr>
        <w:rFonts w:ascii="Wingdings 2" w:hAnsi="Wingdings 2" w:cs="Wingdings 2"/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tabs>
          <w:tab w:val="num" w:leader="none" w:pos="0"/>
        </w:tabs>
        <w:spacing/>
        <w:ind w:hanging="360" w:left="6480"/>
      </w:pPr>
      <w:rPr>
        <w:rFonts w:ascii="OpenSymbol" w:hAnsi="OpenSymbol" w:cs="OpenSymbol"/>
        <w:u w:val="no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2026-02-13T05:45:28Z</dcterms:modified>
</cp:coreProperties>
</file>