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  <w:t>в честь памяти Попова В.А.</w:t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 12.02.2025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установку мемориальной доски в целях увековечения памяти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 </w:t>
      </w:r>
      <w:bookmarkEnd w:id="1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Попова   Вячеслава Анатольевича  - старейшего архитектора города Калуги на фасаде здания ГБПОУ КО «Калужский областной музыкальны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й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 колледж им.С.И.Танеева»,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расположенного по адресу: г.Калуга,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>ул.Баженова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д.1.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</w:t>
        <w:br/>
        <w:t>опубликования.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2" w:name="__DdeLink__1090_77140102"/>
      <w:bookmarkStart w:id="3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2"/>
      <w:bookmarkEnd w:id="3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«__»_____________20__г.</w:t>
      </w:r>
    </w:p>
    <w:p>
      <w:pPr>
        <w:pStyle w:val="Normal"/>
        <w:widowControl/>
        <w:tabs>
          <w:tab w:val="clear" w:pos="708"/>
          <w:tab w:val="left" w:pos="142" w:leader="none"/>
          <w:tab w:val="left" w:pos="1560" w:leader="none"/>
          <w:tab w:val="left" w:pos="3969" w:leader="none"/>
          <w:tab w:val="left" w:pos="6521" w:leader="none"/>
        </w:tabs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LibreOffice/7.3.4.2$Windows_X86_64 LibreOffice_project/728fec16bd5f605073805c3c9e7c4212a0120dc5</Application>
  <AppVersion>15.0000</AppVersion>
  <Pages>1</Pages>
  <Words>159</Words>
  <Characters>1107</Characters>
  <CharactersWithSpaces>1491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2023-10-18T16:39:19Z</cp:lastPrinted>
  <dcterms:modified xsi:type="dcterms:W3CDTF">2025-03-27T16:58:44Z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