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Выписка из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протокола</w:t>
      </w:r>
    </w:p>
    <w:p>
      <w:pPr>
        <w:pStyle w:val="Normal"/>
        <w:spacing w:lineRule="auto" w:line="240"/>
        <w:ind w:firstLine="708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 xml:space="preserve">об итогах аукциона </w:t>
      </w: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по продаже объектов муниципальной собственности, проводимого в электронной форме</w:t>
      </w:r>
    </w:p>
    <w:p>
      <w:pPr>
        <w:pStyle w:val="Normal"/>
        <w:spacing w:lineRule="auto" w:line="240"/>
        <w:ind w:firstLine="54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4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09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от 14.05.2025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ubtitle"/>
        <w:bidi w:val="0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соответствии с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протоколом о признании претендентов участниками аукциона по продаже объектов муниципальной собственности, проводимого в электронной форме</w:t>
        <w:br/>
        <w:t xml:space="preserve">от 13.05.2025 № 09, к участию в аукционе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/>
        </w:rPr>
        <w:t>14.05.2025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проводимом на электронной торговой площадке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http://utp.sberbank-ast.ru/</w:t>
      </w: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lang w:val="ru-RU"/>
        </w:rPr>
        <w:t>,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2"/>
          <w:sz w:val="24"/>
          <w:szCs w:val="24"/>
          <w:u w:val="none"/>
          <w:lang w:val="ru-RU" w:eastAsia="ar-SA" w:bidi="hi-IN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по лоту № 1:</w:t>
      </w:r>
    </w:p>
    <w:p>
      <w:pPr>
        <w:pStyle w:val="Normal"/>
        <w:spacing w:lineRule="auto" w:line="240" w:before="0" w:after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4"/>
          <w:highlight w:val="white"/>
        </w:rPr>
        <w:t>Нежилое здание, назначение: нежилое, общая площадь: 274,5 кв.м, кадастровый номер 40:26:000318:48, адрес (местонахождение) объекта: Калужская область, г. Калуга, ул. Баумана, д. 35 (является объектом культурного наследия местного (муниципального) значения «Дом Носовых», кон. XVIII в., 1880-е гг).</w:t>
      </w:r>
    </w:p>
    <w:p>
      <w:pPr>
        <w:pStyle w:val="Normal"/>
        <w:spacing w:lineRule="auto" w:line="240" w:before="0" w:after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4"/>
          <w:highlight w:val="white"/>
        </w:rPr>
        <w:t>Земельный участок, категория земель: земли населенных пунктов, вид разрешенного использования: под нежилым зданием, площадь: 492 кв.м, кадастровый номер 40:26:000318:1320, адрес (местонахождение) объекта: Калужская область,</w:t>
        <w:br/>
        <w:t xml:space="preserve"> г Калуга, ул. Баумана, д. 35.</w:t>
      </w:r>
    </w:p>
    <w:p>
      <w:pPr>
        <w:pStyle w:val="Normal"/>
        <w:widowControl/>
        <w:tabs>
          <w:tab w:val="left" w:pos="709" w:leader="none"/>
          <w:tab w:val="left" w:pos="720" w:leader="none"/>
        </w:tabs>
        <w:bidi w:val="0"/>
        <w:spacing w:lineRule="auto" w:line="240" w:before="0" w:after="0"/>
        <w:ind w:hanging="0" w:right="0"/>
        <w:jc w:val="both"/>
        <w:rPr/>
      </w:pPr>
      <w:r>
        <w:rPr/>
      </w:r>
    </w:p>
    <w:p>
      <w:pPr>
        <w:pStyle w:val="Normal"/>
        <w:widowControl w:val="false"/>
        <w:tabs>
          <w:tab w:val="left" w:pos="709" w:leader="none"/>
          <w:tab w:val="left" w:pos="720" w:leader="none"/>
        </w:tabs>
        <w:bidi w:val="0"/>
        <w:spacing w:lineRule="auto" w:line="240" w:before="0" w:after="0"/>
        <w:ind w:firstLine="737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zh-CN" w:bidi="ar-SA"/>
        </w:rPr>
        <w:t>Д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zh-CN" w:bidi="ar-SA"/>
        </w:rPr>
        <w:t>опущен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zh-CN" w:bidi="ar-SA"/>
        </w:rPr>
        <w:t>о 9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zh-CN" w:bidi="ar-SA"/>
        </w:rPr>
        <w:t xml:space="preserve"> участник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zh-CN" w:bidi="ar-SA"/>
        </w:rPr>
        <w:t>ов.</w:t>
      </w:r>
    </w:p>
    <w:p>
      <w:pPr>
        <w:pStyle w:val="Normal"/>
        <w:widowControl w:val="false"/>
        <w:tabs>
          <w:tab w:val="left" w:pos="709" w:leader="none"/>
          <w:tab w:val="left" w:pos="720" w:leader="none"/>
        </w:tabs>
        <w:bidi w:val="0"/>
        <w:spacing w:lineRule="auto" w:line="240" w:before="0" w:after="0"/>
        <w:ind w:firstLine="737" w:right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zh-CN" w:bidi="ar-SA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firstLine="737" w:right="0"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Начальная цена имущества: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ar-SA" w:bidi="ar-SA"/>
        </w:rPr>
        <w:t>7 857 000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 xml:space="preserve"> (Семь миллионов восемьсот пятьдесят семь тысяч) рублей 00 копеек, с учетом НДС (20 %)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ar-SA" w:bidi="ar-SA"/>
        </w:rPr>
        <w:t>605 666 (Шестьсот пять тысяч шестьсот шестьдесят шесть) рубл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ar-SA"/>
        </w:rPr>
        <w:t>ей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pl-PL" w:eastAsia="ar-SA" w:bidi="ar-SA"/>
        </w:rPr>
        <w:t xml:space="preserve"> 67 копе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ar-SA"/>
        </w:rPr>
        <w:t>ек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hi-IN"/>
        </w:rPr>
        <w:t>.</w:t>
      </w:r>
    </w:p>
    <w:p>
      <w:pPr>
        <w:pStyle w:val="Normal"/>
        <w:widowControl/>
        <w:bidi w:val="0"/>
        <w:spacing w:lineRule="auto" w:line="240"/>
        <w:ind w:firstLine="709" w:right="0"/>
        <w:jc w:val="both"/>
        <w:rPr/>
      </w:pPr>
      <w:r>
        <w:rPr/>
      </w:r>
    </w:p>
    <w:p>
      <w:pPr>
        <w:pStyle w:val="Normal"/>
        <w:bidi w:val="0"/>
        <w:spacing w:lineRule="auto" w:line="240"/>
        <w:ind w:firstLine="709" w:right="0"/>
        <w:jc w:val="both"/>
        <w:rPr/>
      </w:pPr>
      <w:r>
        <w:rPr>
          <w:rFonts w:eastAsia="NSimSun" w:cs="Times New Roman" w:ascii="Times New Roman" w:hAnsi="Times New Roman"/>
          <w:b/>
          <w:bCs/>
          <w:color w:val="00000A"/>
          <w:sz w:val="24"/>
          <w:szCs w:val="24"/>
          <w:lang w:bidi="hi-IN"/>
        </w:rPr>
        <w:t>Аукцион по продаже муниципальной собственности в электронной форме, открытый по составу участников</w:t>
      </w:r>
      <w:r>
        <w:rPr>
          <w:rFonts w:eastAsia="NSimSun" w:cs="Times New Roman" w:ascii="Times New Roman" w:hAnsi="Times New Roman"/>
          <w:b w:val="false"/>
          <w:bCs w:val="false"/>
          <w:color w:val="00000A"/>
          <w:sz w:val="24"/>
          <w:szCs w:val="24"/>
          <w:lang w:bidi="hi-IN"/>
        </w:rPr>
        <w:t xml:space="preserve">, объявленный на основании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  <w:t>распоряжения заместителя Городского Головы - начальника управления экономики и имущественных отношений города Калуги о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ru-RU" w:eastAsia="ar-SA" w:bidi="hi-IN"/>
        </w:rPr>
        <w:t>т 02.04.2025 № 464-16-Р «Об утверждении решения об условиях приватизации муниципального имущества»</w:t>
      </w:r>
      <w:r>
        <w:rPr>
          <w:rFonts w:eastAsia="NSimSu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bidi="hi-IN"/>
        </w:rPr>
        <w:t>, процедур</w:t>
      </w:r>
      <w:r>
        <w:rPr>
          <w:rFonts w:eastAsia="NSimSun" w:cs="Times New Roman" w:ascii="Times New Roman" w:hAnsi="Times New Roman"/>
          <w:b w:val="false"/>
          <w:bCs w:val="false"/>
          <w:color w:val="00000A"/>
          <w:sz w:val="24"/>
          <w:szCs w:val="24"/>
          <w:lang w:bidi="hi-IN"/>
        </w:rPr>
        <w:t>а проведения которого установлена в соответствии с порядком, утвержденным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 w:bidi="hi-IN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ru-RU" w:eastAsia="ar-SA" w:bidi="hi-IN"/>
        </w:rPr>
        <w:t xml:space="preserve">признать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  <w:t>состоявшимся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  <w:t>.</w:t>
      </w:r>
    </w:p>
    <w:p>
      <w:pPr>
        <w:pStyle w:val="Normal"/>
        <w:bidi w:val="0"/>
        <w:spacing w:lineRule="auto" w:line="240"/>
        <w:ind w:firstLine="709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ar-SA" w:bidi="hi-IN"/>
        </w:rPr>
      </w:pPr>
      <w:r>
        <w:rPr/>
      </w:r>
    </w:p>
    <w:p>
      <w:pPr>
        <w:pStyle w:val="Normal"/>
        <w:spacing w:lineRule="auto" w:line="240"/>
        <w:ind w:firstLine="709" w:right="0"/>
        <w:jc w:val="both"/>
        <w:rPr/>
      </w:pPr>
      <w:r>
        <w:rPr>
          <w:rFonts w:eastAsia="NSimSun" w:cs="Times New Roman" w:ascii="Times New Roman" w:hAnsi="Times New Roman"/>
          <w:b w:val="false"/>
          <w:bCs w:val="false"/>
        </w:rPr>
        <w:t>Победителем признан участник с номером заявки 9227 - Волкова Галина Александровна с ценой предложения 21 213 900 (Двадцать один миллион двести тринадцать тысяч девятьсот) рублей 00 копеек, с учетом НДС.</w:t>
      </w:r>
    </w:p>
    <w:p>
      <w:pPr>
        <w:pStyle w:val="Normal"/>
        <w:widowControl/>
        <w:tabs>
          <w:tab w:val="clear" w:pos="720"/>
          <w:tab w:val="left" w:pos="5940" w:leader="none"/>
          <w:tab w:val="left" w:pos="6120" w:leader="none"/>
        </w:tabs>
        <w:bidi w:val="0"/>
        <w:spacing w:lineRule="auto" w:line="240"/>
        <w:ind w:firstLine="709" w:right="0"/>
        <w:jc w:val="both"/>
        <w:rPr/>
      </w:pP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ru-RU" w:eastAsia="zh-CN" w:bidi="hi-IN"/>
        </w:rPr>
        <w:t>Участник продажи, сделавший предпоследнее предложение о цене имущества -</w:t>
        <w:br/>
        <w:t>ООО «ЗЕМСТРОЙ»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u w:val="none"/>
          <w:shd w:fill="FFFFFF" w:val="clear"/>
          <w:lang w:val="ru-RU" w:eastAsia="zh-CN" w:bidi="hi-IN"/>
        </w:rPr>
        <w:t>.</w:t>
      </w:r>
    </w:p>
    <w:p>
      <w:pPr>
        <w:pStyle w:val="Normal"/>
        <w:bidi w:val="0"/>
        <w:spacing w:lineRule="auto" w:line="240"/>
        <w:ind w:firstLine="709" w:right="0"/>
        <w:jc w:val="both"/>
        <w:rPr/>
      </w:pPr>
      <w:r>
        <w:rPr/>
      </w:r>
    </w:p>
    <w:p>
      <w:pPr>
        <w:pStyle w:val="Normal"/>
        <w:bidi w:val="0"/>
        <w:spacing w:lineRule="auto" w:line="240"/>
        <w:ind w:firstLine="709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</w:pP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ru-RU" w:eastAsia="zh-CN" w:bidi="hi-IN"/>
        </w:rPr>
        <w:tab/>
        <w:t>Договор купли-продажи зак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лючается в простой письменной форме по месту нахождения Продавца и форме электронного документа на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универсальной торговой платформе АО «Сбербанк-АСТ»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в течение 5 рабочих дней со дня подведения итогов аукциона в электронной форме.</w:t>
      </w:r>
    </w:p>
    <w:p>
      <w:pPr>
        <w:pStyle w:val="Normal"/>
        <w:bidi w:val="0"/>
        <w:spacing w:lineRule="auto" w:line="240"/>
        <w:ind w:firstLine="709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  <w:t>Оплата приобретаемого имущества производится в рублях путем единовременного перечисления Покупателем денежных средств на расчетный счет Продавца, указанный в договоре купли-продажи, в течение 10 рабочих дней с момента подписания договора купли-продажи.</w:t>
      </w:r>
    </w:p>
    <w:p>
      <w:pPr>
        <w:pStyle w:val="Normal"/>
        <w:spacing w:lineRule="auto" w:line="240"/>
        <w:ind w:hanging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Секретарь                                                                                                                Е.А. Семенова</w:t>
      </w:r>
    </w:p>
    <w:sectPr>
      <w:type w:val="nextPage"/>
      <w:pgSz w:w="11906" w:h="16838"/>
      <w:pgMar w:left="1701" w:right="709" w:gutter="0" w:header="0" w:top="885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yle5">
    <w:name w:val="Выделение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character" w:styleId="Hyperlink">
    <w:name w:val="Hyperlink"/>
    <w:rPr>
      <w:color w:val="000080"/>
      <w:u w:val="single"/>
      <w:lang w:val="en-US" w:eastAsia="en-US" w:bidi="en-US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user"/>
    <w:qFormat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us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szCs w:val="20"/>
    </w:rPr>
  </w:style>
  <w:style w:type="numbering" w:styleId="Style10" w:default="1">
    <w:name w:val="Без списка"/>
    <w:uiPriority w:val="99"/>
    <w:semiHidden/>
    <w:unhideWhenUsed/>
    <w:qFormat/>
  </w:style>
  <w:style w:type="table" w:styleId="11">
    <w:name w:val="Table Grid"/>
    <w:basedOn w:val="6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2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1</Pages>
  <Words>335</Words>
  <Characters>2317</Characters>
  <CharactersWithSpaces>2877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2022-11-09T12:04:00Z</dcterms:created>
  <dc:creator/>
  <dc:description/>
  <dc:language>ru-RU</dc:language>
  <cp:lastModifiedBy/>
  <dcterms:modified xsi:type="dcterms:W3CDTF">2025-05-14T15:37:16Z</dcterms:modified>
  <cp:revision>106</cp:revision>
  <dc:subject/>
  <dc:title>Постановление Правительства РФ от 27.08.2012 N 860(ред. от 22.09.2022)"Об организации и проведении продажи государственного или муниципального имущества в электронной форме"(вместе с "Положением об организации и проведении продажи государственного или муниципального имущества в электронной форме")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