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bidi w:val="0"/>
        <w:spacing w:lineRule="auto" w:line="240"/>
        <w:ind w:left="851" w:right="0" w:hanging="85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>УТВЕРЖДАЮ: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6236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Заместитель начальник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</w:rPr>
        <w:t xml:space="preserve"> управления </w:t>
      </w:r>
      <w:r>
        <w:rPr>
          <w:rFonts w:ascii="Times New Roman" w:hAnsi="Times New Roman"/>
          <w:lang w:val="ru-RU"/>
        </w:rPr>
        <w:t>архитектуры, градостроительства и земельных отношений</w:t>
      </w:r>
      <w:r>
        <w:rPr>
          <w:rFonts w:ascii="Times New Roman" w:hAnsi="Times New Roman"/>
        </w:rPr>
        <w:t xml:space="preserve"> города Калуги</w:t>
      </w:r>
    </w:p>
    <w:p>
      <w:pPr>
        <w:pStyle w:val="Normal"/>
        <w:widowControl w:val="false"/>
        <w:suppressAutoHyphens w:val="true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</w:t>
      </w:r>
    </w:p>
    <w:p>
      <w:pPr>
        <w:pStyle w:val="Normal"/>
        <w:widowControl w:val="false"/>
        <w:suppressAutoHyphens w:val="true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_____________ </w:t>
      </w:r>
      <w:r>
        <w:rPr>
          <w:rFonts w:cs="Times New Roman" w:ascii="Times New Roman" w:hAnsi="Times New Roman"/>
          <w:sz w:val="24"/>
          <w:szCs w:val="24"/>
          <w:lang w:val="ru-RU"/>
        </w:rPr>
        <w:t>Д.А. Шмаков</w:t>
      </w:r>
    </w:p>
    <w:p>
      <w:pPr>
        <w:pStyle w:val="Normal"/>
        <w:widowControl w:val="false"/>
        <w:suppressAutoHyphens w:val="true"/>
        <w:bidi w:val="0"/>
        <w:spacing w:lineRule="auto" w:line="24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«</w:t>
      </w:r>
      <w:r>
        <w:rPr>
          <w:rFonts w:cs="Times New Roman" w:ascii="Times New Roman" w:hAnsi="Times New Roman"/>
          <w:sz w:val="24"/>
          <w:szCs w:val="24"/>
          <w:u w:val="single"/>
          <w:lang w:val="ru-RU"/>
        </w:rPr>
        <w:t>26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» </w:t>
      </w:r>
      <w:r>
        <w:rPr>
          <w:rFonts w:cs="Times New Roman" w:ascii="Times New Roman" w:hAnsi="Times New Roman"/>
          <w:sz w:val="24"/>
          <w:szCs w:val="24"/>
          <w:u w:val="single"/>
          <w:lang w:val="ru-RU"/>
        </w:rPr>
        <w:t>января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202</w:t>
      </w:r>
      <w:r>
        <w:rPr>
          <w:rFonts w:cs="Times New Roman" w:ascii="Times New Roman" w:hAnsi="Times New Roman"/>
          <w:sz w:val="24"/>
          <w:szCs w:val="24"/>
          <w:lang w:val="en-US"/>
        </w:rPr>
        <w:t>6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г.</w:t>
      </w:r>
    </w:p>
    <w:p>
      <w:pPr>
        <w:pStyle w:val="Normal"/>
        <w:widowControl w:val="false"/>
        <w:suppressAutoHyphens w:val="true"/>
        <w:bidi w:val="0"/>
        <w:spacing w:lineRule="auto" w: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</w:t>
      </w:r>
    </w:p>
    <w:p>
      <w:pPr>
        <w:pStyle w:val="Normal"/>
        <w:widowControl w:val="false"/>
        <w:suppressAutoHyphens w:val="true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ДОКЛАД</w:t>
      </w:r>
    </w:p>
    <w:p>
      <w:pPr>
        <w:pStyle w:val="Normal"/>
        <w:widowControl w:val="false"/>
        <w:suppressAutoHyphens w:val="true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ОБ АНТИМОНОПОЛЬНОМ КОМПЛАЕНСЕ В</w:t>
      </w:r>
    </w:p>
    <w:p>
      <w:pPr>
        <w:pStyle w:val="Normal"/>
        <w:widowControl w:val="false"/>
        <w:suppressAutoHyphens w:val="true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УПРАВЛЕНИИ АРХИТЕКТУРЫ, ГРАДОСТРОИТЕЛЬСТВА И ЗЕМЕЛЬНЫХ ОТНОШЕНИЙ ГОРОДА КАЛУГИ</w:t>
      </w:r>
    </w:p>
    <w:p>
      <w:pPr>
        <w:pStyle w:val="Normal"/>
        <w:widowControl w:val="false"/>
        <w:suppressAutoHyphens w:val="true"/>
        <w:bidi w:val="0"/>
        <w:spacing w:lineRule="auto" w:line="24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ConsPlusNormal"/>
        <w:widowControl w:val="false"/>
        <w:suppressAutoHyphens w:val="true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Приказом </w:t>
      </w:r>
      <w:r>
        <w:rPr>
          <w:rFonts w:cs="Times New Roman" w:ascii="Times New Roman" w:hAnsi="Times New Roman"/>
          <w:sz w:val="24"/>
          <w:szCs w:val="24"/>
          <w:lang w:val="ru-RU"/>
        </w:rPr>
        <w:t>управления архитектуры, градостроительства и земельных отношений города Калуги от 26.01.2026 № 4 о/д «</w:t>
      </w:r>
      <w:r>
        <w:rPr>
          <w:rFonts w:cs="Times New Roman" w:ascii="Times New Roman" w:hAnsi="Times New Roman"/>
          <w:b w:val="false"/>
          <w:bCs w:val="false"/>
          <w:color w:val="000000"/>
          <w:spacing w:val="0"/>
          <w:sz w:val="24"/>
          <w:szCs w:val="24"/>
          <w:lang w:val="ru-RU"/>
        </w:rPr>
        <w:t xml:space="preserve">Об утверждении антимонопольной политики» </w:t>
      </w:r>
      <w:r>
        <w:rPr>
          <w:rFonts w:cs="Times New Roman" w:ascii="Times New Roman" w:hAnsi="Times New Roman"/>
          <w:sz w:val="24"/>
          <w:szCs w:val="24"/>
          <w:lang w:val="ru-RU"/>
        </w:rPr>
        <w:t>обя</w:t>
      </w:r>
      <w:r>
        <w:rPr>
          <w:rFonts w:cs="Times New Roman" w:ascii="Times New Roman" w:hAnsi="Times New Roman"/>
          <w:sz w:val="24"/>
          <w:szCs w:val="24"/>
        </w:rPr>
        <w:t xml:space="preserve">занности по организации системы внутреннего обеспечения соответствия требованиям антимонопольного законодательства (антимонопольной комплаенс-системы), её функционированию и поддержанию, внедрению мер по соблюдению антимонопольного законодательства в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ru-RU" w:eastAsia="ru-RU" w:bidi="ar-SA"/>
        </w:rPr>
        <w:t>управлении архитектуры, градостроительства и земельных отношений города Калуги (далее - Управление)</w:t>
      </w:r>
      <w:r>
        <w:rPr>
          <w:rFonts w:cs="Times New Roman" w:ascii="Times New Roman" w:hAnsi="Times New Roman"/>
          <w:sz w:val="24"/>
          <w:szCs w:val="24"/>
        </w:rPr>
        <w:t>, их совершенствованию, выявлению и предотвращение нарушений в данной сфере возложены на отдел объектов социальной и инженерной инфраструктуры.</w:t>
      </w:r>
    </w:p>
    <w:p>
      <w:pPr>
        <w:pStyle w:val="ConsPlusNormal"/>
        <w:widowControl w:val="false"/>
        <w:suppressAutoHyphens w:val="true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>В целях совершенствования  антимонопольной комплаенс-системы по выявлению и предотвращению нарушений в сфере антимонопольного законодательства Управлением проведены следующие мероприятия.</w:t>
      </w:r>
    </w:p>
    <w:p>
      <w:pPr>
        <w:pStyle w:val="ConsPlusNormal"/>
        <w:widowControl w:val="false"/>
        <w:suppressAutoHyphens w:val="true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1. </w:t>
      </w:r>
      <w:r>
        <w:rPr>
          <w:rFonts w:cs="Times New Roman" w:ascii="Times New Roman" w:hAnsi="Times New Roman"/>
          <w:color w:val="000000"/>
          <w:sz w:val="24"/>
          <w:szCs w:val="24"/>
        </w:rPr>
        <w:t>Надлежащее исполнение требований законодательства Российской Федерации и недопущение неправомерных действий являются приоритетами деятельности. Управление принимает все возможные меры для предотвращения неправомерных действий со стороны сотрудников Управления.</w:t>
      </w:r>
    </w:p>
    <w:p>
      <w:pPr>
        <w:pStyle w:val="ConsPlusNormal"/>
        <w:widowControl w:val="false"/>
        <w:suppressAutoHyphens w:val="true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 xml:space="preserve">2. </w:t>
      </w:r>
      <w:r>
        <w:rPr>
          <w:rFonts w:cs="Times New Roman" w:ascii="Times New Roman" w:hAnsi="Times New Roman"/>
          <w:sz w:val="24"/>
          <w:szCs w:val="24"/>
        </w:rPr>
        <w:t xml:space="preserve">Приказом Управления от </w:t>
      </w:r>
      <w:r>
        <w:rPr>
          <w:rFonts w:cs="Times New Roman" w:ascii="Times New Roman" w:hAnsi="Times New Roman"/>
          <w:sz w:val="24"/>
          <w:szCs w:val="24"/>
          <w:lang w:val="ru-RU"/>
        </w:rPr>
        <w:t>26.01.2026 № 4 о/д</w:t>
      </w:r>
      <w:r>
        <w:rPr>
          <w:rFonts w:cs="Times New Roman" w:ascii="Times New Roman" w:hAnsi="Times New Roman"/>
          <w:sz w:val="24"/>
          <w:szCs w:val="24"/>
        </w:rPr>
        <w:t xml:space="preserve"> «</w:t>
      </w:r>
      <w:r>
        <w:rPr>
          <w:rFonts w:cs="Times New Roman" w:ascii="Times New Roman" w:hAnsi="Times New Roman"/>
          <w:b w:val="false"/>
          <w:bCs w:val="false"/>
          <w:color w:val="000000"/>
          <w:spacing w:val="0"/>
          <w:sz w:val="24"/>
          <w:szCs w:val="24"/>
          <w:lang w:val="ru-RU"/>
        </w:rPr>
        <w:t>Об утверждении антимонопольной политики»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определено, что политика </w:t>
      </w:r>
      <w:r>
        <w:rPr>
          <w:rFonts w:ascii="Times New Roman" w:hAnsi="Times New Roman"/>
          <w:color w:val="000000"/>
          <w:sz w:val="24"/>
          <w:szCs w:val="24"/>
        </w:rPr>
        <w:t>применяется в отношении всех сотрудников, в частности, непосредственно затрагивает следующие категории сотрудников: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- участвующие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предоставлении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земельны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lang w:val="ru-RU"/>
        </w:rPr>
        <w:t>х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участк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lang w:val="ru-RU"/>
        </w:rPr>
        <w:t>ов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,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lang w:val="ru-RU"/>
        </w:rPr>
        <w:t>находящихся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в государственной собственности до разграничения государственной собственности на землю, земельными участками, находящимися в муниципальной собственности, в том числе прин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lang w:val="ru-RU"/>
        </w:rPr>
        <w:t>ятии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решени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lang w:val="ru-RU"/>
        </w:rPr>
        <w:t>й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о проведении электронных торгов, организ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lang w:val="ru-RU"/>
        </w:rPr>
        <w:t>ации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и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lang w:val="ru-RU"/>
        </w:rPr>
        <w:t>проводении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электронны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lang w:val="ru-RU"/>
        </w:rPr>
        <w:t>х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торг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lang w:val="ru-RU"/>
        </w:rPr>
        <w:t>ов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по продаже земельных участков или заключению договоров аренды земельных участков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overflowPunct w:val="true"/>
        <w:bidi w:val="0"/>
        <w:snapToGrid w:val="false"/>
        <w:spacing w:lineRule="auto" w:line="240" w:before="0" w:after="0"/>
        <w:ind w:left="0" w:right="0"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участвующие в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ланировани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lang w:val="ru-RU"/>
        </w:rPr>
        <w:t>и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бюджетных инвестиций в целях осуществления комплексной застройки городского округа города Калуги Калужской области, улучшения архитектурного облика городского округа города Калуги Калужской области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overflowPunct w:val="true"/>
        <w:bidi w:val="0"/>
        <w:snapToGrid w:val="false"/>
        <w:spacing w:lineRule="auto" w:line="240" w:before="0" w:after="0"/>
        <w:ind w:left="0" w:right="0"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осуществляющие к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онтроль за использованием бюджетных инвестиций в области строительства, реконструкции и капитального ремонта объектов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overflowPunct w:val="true"/>
        <w:bidi w:val="0"/>
        <w:snapToGrid w:val="false"/>
        <w:spacing w:lineRule="auto" w:line="240" w:before="0" w:after="0"/>
        <w:ind w:left="0" w:right="0"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участвующие в з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аключе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lang w:val="ru-RU"/>
        </w:rPr>
        <w:t>нии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муниципальны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lang w:val="ru-RU"/>
        </w:rPr>
        <w:t>х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контракт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lang w:val="ru-RU"/>
        </w:rPr>
        <w:t>ов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(договор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lang w:val="ru-RU"/>
        </w:rPr>
        <w:t>ов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) на проведение кадастровых работ, выполнение инженерных изысканий для нужд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lang w:val="ru-RU"/>
        </w:rPr>
        <w:t>У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правления;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overflowPunct w:val="true"/>
        <w:bidi w:val="0"/>
        <w:snapToGrid w:val="false"/>
        <w:spacing w:lineRule="auto" w:line="240" w:before="0" w:after="0"/>
        <w:ind w:left="0" w:right="0"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участвующие в з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аключ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lang w:val="ru-RU"/>
        </w:rPr>
        <w:t>ении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муниципальны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lang w:val="ru-RU"/>
        </w:rPr>
        <w:t>х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контракт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lang w:val="ru-RU"/>
        </w:rPr>
        <w:t>ов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(договор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lang w:val="ru-RU"/>
        </w:rPr>
        <w:t>ов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) на оценку земельных участков или права аренды земельных участков;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overflowPunct w:val="true"/>
        <w:bidi w:val="0"/>
        <w:snapToGrid w:val="false"/>
        <w:spacing w:lineRule="auto" w:line="240" w:before="0" w:after="0"/>
        <w:ind w:left="0" w:right="0"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-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lang w:val="ru-RU"/>
        </w:rPr>
        <w:t xml:space="preserve">участвующие в принятии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решения о проведении торгов в целях заключения договора о комплексном развитии территории, осуществле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lang w:val="ru-RU"/>
        </w:rPr>
        <w:t>нии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организаци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lang w:val="ru-RU"/>
        </w:rPr>
        <w:t>и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и проведени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lang w:val="ru-RU"/>
        </w:rPr>
        <w:t>и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торгов на право заключения договора о комплексном развитии территории, заключе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lang w:val="ru-RU"/>
        </w:rPr>
        <w:t>нии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договор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lang w:val="ru-RU"/>
        </w:rPr>
        <w:t>ов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о комплексном развитии территории и осуществле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lang w:val="ru-RU"/>
        </w:rPr>
        <w:t>нии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предоставлени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lang w:val="ru-RU"/>
        </w:rPr>
        <w:t>я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земельных участков для комплексного развития территории;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overflowPunct w:val="true"/>
        <w:bidi w:val="0"/>
        <w:snapToGrid w:val="false"/>
        <w:spacing w:lineRule="auto" w:line="240" w:before="0" w:after="0"/>
        <w:ind w:left="0" w:right="0"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- участвующие в принятии решений об определении поставщиков (подрядчиков, исполнителей) в соответствии со статьей 93 Федерального закона от 05.04.2013 № 44-ФЗ</w:t>
        <w:br/>
        <w:t>«О контрактной системе в сфере закупок, товаров, работ, услуг для обеспечения государственных и муниципальных нужд».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>
        <w:rPr>
          <w:rFonts w:ascii="Times New Roman" w:hAnsi="Times New Roman"/>
          <w:sz w:val="24"/>
          <w:szCs w:val="24"/>
          <w:lang w:val="ru-RU"/>
        </w:rPr>
        <w:t>В целях реализации антимонопольной политики Управление в части формирования у сотрудников необходимых знаний и навыков соблюдения положений антимонопольного законодательства разрабатывает методику тестирования знаний у сотрудников</w:t>
        <w:br/>
        <w:t>для подтверждения осведомленности их об антимонопольной политике.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 xml:space="preserve">4. </w:t>
      </w:r>
      <w:r>
        <w:rPr>
          <w:rFonts w:ascii="Times New Roman" w:hAnsi="Times New Roman"/>
          <w:sz w:val="24"/>
          <w:szCs w:val="24"/>
          <w:lang w:val="ru-RU"/>
        </w:rPr>
        <w:t>В целях выявления, оценки и регулирования рисков нарушения Управлением антимонопольного законодательства ответственным подразделением совместно</w:t>
        <w:br/>
        <w:t>с заинтересованными структурными подразделениями проанализированы предложения</w:t>
        <w:br/>
        <w:t>от структурных подразделений  Управления по антимонопольной политике.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u-RU"/>
        </w:rPr>
        <w:tab/>
        <w:t>5. Нарушений антимонопольного законодательства не выявлено.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u-RU"/>
        </w:rPr>
        <w:tab/>
        <w:t>6. Выводы и рекомендации.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u-RU"/>
        </w:rPr>
        <w:tab/>
        <w:t>При формировании перечня комплаенс-рисков необходимо учесть особенности направления деятельности Управления, в котором может быть совершено нарушение антимонопольного законодательства и правовые механизмы, реализуя которые возможно снизить риски нарушения антимонопольного законодательства.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/>
      </w:r>
    </w:p>
    <w:sectPr>
      <w:type w:val="nextPage"/>
      <w:pgSz w:w="12240" w:h="15840"/>
      <w:pgMar w:left="1701" w:right="89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2">
    <w:name w:val="Heading 2"/>
    <w:basedOn w:val="Normal"/>
    <w:qFormat/>
    <w:pPr>
      <w:keepNext w:val="true"/>
      <w:keepLines/>
      <w:suppressAutoHyphens w:val="false"/>
      <w:spacing w:lineRule="atLeast" w:line="240" w:before="200" w:after="0"/>
      <w:ind w:left="0" w:right="0" w:firstLine="709"/>
      <w:jc w:val="both"/>
      <w:outlineLvl w:val="1"/>
    </w:pPr>
    <w:rPr>
      <w:rFonts w:ascii="Cambria" w:hAnsi="Cambria" w:eastAsia="SimSun" w:cs="Mangal"/>
      <w:b/>
      <w:bCs/>
      <w:color w:val="4F81BD"/>
      <w:szCs w:val="26"/>
      <w:lang w:eastAsia="ru-RU"/>
    </w:rPr>
  </w:style>
  <w:style w:type="paragraph" w:styleId="9">
    <w:name w:val="Heading 9"/>
    <w:basedOn w:val="Normal"/>
    <w:next w:val="Style14"/>
    <w:qFormat/>
    <w:pPr>
      <w:keepNext w:val="true"/>
      <w:numPr>
        <w:ilvl w:val="8"/>
        <w:numId w:val="1"/>
      </w:numPr>
      <w:tabs>
        <w:tab w:val="clear" w:pos="709"/>
        <w:tab w:val="left" w:pos="0" w:leader="none"/>
      </w:tabs>
      <w:jc w:val="center"/>
      <w:outlineLvl w:val="8"/>
    </w:pPr>
    <w:rPr>
      <w:b/>
      <w:i/>
      <w:sz w:val="20"/>
      <w:szCs w:val="20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pPr>
      <w:spacing w:lineRule="auto" w:line="288" w:before="0" w:after="140"/>
    </w:pPr>
    <w:rPr/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>
    <w:name w:val="Title"/>
    <w:basedOn w:val="Normal"/>
    <w:qFormat/>
    <w:pPr>
      <w:jc w:val="center"/>
    </w:pPr>
    <w:rPr>
      <w:b/>
      <w:sz w:val="2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09"/>
      <w:jc w:val="both"/>
    </w:pPr>
    <w:rPr>
      <w:rFonts w:ascii="Arial" w:hAnsi="Arial" w:eastAsia="Times New Roman" w:cs="Arial"/>
      <w:color w:val="00000A"/>
      <w:kern w:val="0"/>
      <w:sz w:val="26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294</TotalTime>
  <Application>LibreOffice/7.4.2.3$Windows_X86_64 LibreOffice_project/382eef1f22670f7f4118c8c2dd222ec7ad009daf</Application>
  <AppVersion>15.0000</AppVersion>
  <Pages>2</Pages>
  <Words>472</Words>
  <Characters>3800</Characters>
  <CharactersWithSpaces>4631</CharactersWithSpaces>
  <Paragraphs>25</Paragraphs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2026-01-22T10:38:00Z</dcterms:created>
  <dc:creator/>
  <dc:description/>
  <dc:language>ru-RU</dc:language>
  <cp:lastModifiedBy/>
  <cp:lastPrinted>2026-01-26T17:08:37Z</cp:lastPrinted>
  <dcterms:modified xsi:type="dcterms:W3CDTF">2026-01-27T09:27:19Z</dcterms:modified>
  <cp:revision>28</cp:revision>
  <dc:subject/>
  <dc:title>Решение Городской Думы городского округа "Г. Калуга" от 01.02.2011 N 15(ред. от 26.09.2025)"Об управлении архитектуры, градостроительства и земельных отношений города Калуги"(вместе с "Положением управлении архитектуры, градостроительства и земельных отношений города Калуги")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