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ind w:firstLine="709"/>
        <w:jc w:val="center"/>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Приложение № 1</w:t>
      </w:r>
    </w:p>
    <w:p>
      <w:pPr>
        <w:pStyle w:val="Normal"/>
        <w:spacing w:lineRule="auto" w:line="264"/>
        <w:ind w:firstLine="709"/>
        <w:jc w:val="center"/>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к положению о муниципальном</w:t>
      </w:r>
    </w:p>
    <w:p>
      <w:pPr>
        <w:pStyle w:val="Normal"/>
        <w:spacing w:lineRule="auto" w:line="264"/>
        <w:ind w:firstLine="709"/>
        <w:jc w:val="right"/>
        <w:rPr>
          <w:rFonts w:ascii="Times New Roman" w:hAnsi="Times New Roman" w:cs="Times New Roman"/>
          <w:sz w:val="24"/>
          <w:szCs w:val="24"/>
          <w:highlight w:val="white"/>
        </w:rPr>
      </w:pPr>
      <w:r>
        <w:rPr>
          <w:rFonts w:cs="Times New Roman" w:ascii="Times New Roman" w:hAnsi="Times New Roman"/>
          <w:sz w:val="24"/>
          <w:szCs w:val="24"/>
          <w:shd w:fill="FFFFFF" w:val="clear"/>
        </w:rPr>
        <w:t>земельном контроле на территории</w:t>
      </w:r>
    </w:p>
    <w:p>
      <w:pPr>
        <w:pStyle w:val="Normal"/>
        <w:spacing w:lineRule="auto" w:line="264"/>
        <w:ind w:firstLine="709"/>
        <w:jc w:val="center"/>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муниципального образования</w:t>
      </w:r>
    </w:p>
    <w:p>
      <w:pPr>
        <w:pStyle w:val="Normal"/>
        <w:spacing w:lineRule="auto" w:line="264"/>
        <w:ind w:firstLine="709"/>
        <w:jc w:val="center"/>
        <w:rPr>
          <w:rFonts w:ascii="Times New Roman" w:hAnsi="Times New Roman" w:cs="Times New Roman"/>
          <w:sz w:val="24"/>
          <w:szCs w:val="24"/>
          <w:highlight w:val="white"/>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«Город Калуга»</w:t>
      </w:r>
    </w:p>
    <w:p>
      <w:pPr>
        <w:pStyle w:val="Normal"/>
        <w:spacing w:lineRule="auto" w:line="264"/>
        <w:ind w:firstLine="709"/>
        <w:jc w:val="right"/>
        <w:rPr>
          <w:rFonts w:ascii="Times New Roman" w:hAnsi="Times New Roman" w:cs="Times New Roman"/>
          <w:sz w:val="24"/>
          <w:szCs w:val="24"/>
        </w:rPr>
      </w:pPr>
      <w:r>
        <w:rPr>
          <w:rFonts w:cs="Times New Roman" w:ascii="Times New Roman" w:hAnsi="Times New Roman"/>
          <w:sz w:val="24"/>
          <w:szCs w:val="24"/>
        </w:rPr>
      </w:r>
    </w:p>
    <w:p>
      <w:pPr>
        <w:pStyle w:val="11"/>
        <w:spacing w:lineRule="auto" w:line="264" w:before="0" w:after="0"/>
        <w:jc w:val="center"/>
        <w:rPr>
          <w:rFonts w:ascii="Times New Roman" w:hAnsi="Times New Roman"/>
        </w:rPr>
      </w:pPr>
      <w:r>
        <w:rPr>
          <w:rFonts w:ascii="Times New Roman" w:hAnsi="Times New Roman"/>
          <w:bCs/>
        </w:rPr>
        <w:t xml:space="preserve">Индикаторы риска нарушения обязательных требований </w:t>
        <w:br/>
        <w:t>при осуществлении м</w:t>
      </w:r>
      <w:r>
        <w:rPr>
          <w:rFonts w:ascii="Times New Roman" w:hAnsi="Times New Roman"/>
          <w:bCs/>
          <w:shd w:fill="FFFFFF" w:val="clear"/>
        </w:rPr>
        <w:t>униципального земельного контроля</w:t>
      </w:r>
    </w:p>
    <w:p>
      <w:pPr>
        <w:pStyle w:val="11"/>
        <w:spacing w:lineRule="auto" w:line="264" w:before="0" w:after="0"/>
        <w:jc w:val="both"/>
        <w:rPr/>
      </w:pPr>
      <w:r>
        <w:rPr/>
      </w:r>
    </w:p>
    <w:p>
      <w:pPr>
        <w:pStyle w:val="Normal"/>
        <w:spacing w:lineRule="auto" w:line="240"/>
        <w:ind w:firstLine="709"/>
        <w:jc w:val="both"/>
        <w:rPr/>
      </w:pPr>
      <w:r>
        <w:rPr>
          <w:rFonts w:cs="Times New Roman" w:ascii="Times New Roman" w:hAnsi="Times New Roman"/>
          <w:sz w:val="24"/>
          <w:szCs w:val="24"/>
        </w:rPr>
        <w:t xml:space="preserve">Индикаторами риска нарушения обязательных требований при осуществлении муниципального земельного контроля на территории </w:t>
      </w:r>
      <w:r>
        <w:rPr>
          <w:rFonts w:cs="Times New Roman" w:ascii="Times New Roman" w:hAnsi="Times New Roman"/>
          <w:sz w:val="24"/>
          <w:szCs w:val="24"/>
          <w:shd w:fill="FFFFFF" w:val="clear"/>
        </w:rPr>
        <w:t xml:space="preserve">муниципального образования         «Город Калуга» </w:t>
      </w:r>
      <w:r>
        <w:rPr>
          <w:rFonts w:cs="Times New Roman" w:ascii="Times New Roman" w:hAnsi="Times New Roman"/>
          <w:sz w:val="24"/>
          <w:szCs w:val="24"/>
        </w:rPr>
        <w:t>являются:</w:t>
      </w:r>
    </w:p>
    <w:p>
      <w:pPr>
        <w:pStyle w:val="Normal"/>
        <w:spacing w:lineRule="auto" w:line="240"/>
        <w:ind w:firstLine="709"/>
        <w:jc w:val="both"/>
        <w:rPr/>
      </w:pPr>
      <w:r>
        <w:rPr>
          <w:rFonts w:cs="Times New Roman" w:ascii="Times New Roman" w:hAnsi="Times New Roman"/>
          <w:sz w:val="24"/>
          <w:szCs w:val="24"/>
        </w:rPr>
        <w:t>1. 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2,5 га. при условии, что каждый из указанных участков находится в собственности более 3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pPr>
        <w:pStyle w:val="Normal"/>
        <w:spacing w:lineRule="auto" w:line="240"/>
        <w:ind w:firstLine="709"/>
        <w:jc w:val="both"/>
        <w:rPr/>
      </w:pPr>
      <w:r>
        <w:rPr>
          <w:rFonts w:cs="Times New Roman" w:ascii="Times New Roman" w:hAnsi="Times New Roman"/>
          <w:sz w:val="24"/>
          <w:szCs w:val="24"/>
        </w:rPr>
        <w:t>2. Зарастание не менее 25 процентов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pPr>
        <w:pStyle w:val="Normal"/>
        <w:spacing w:lineRule="auto" w:line="240"/>
        <w:ind w:firstLine="709"/>
        <w:jc w:val="both"/>
        <w:rPr/>
      </w:pPr>
      <w:r>
        <w:rPr>
          <w:rFonts w:cs="Times New Roman" w:ascii="Times New Roman" w:hAnsi="Times New Roman"/>
          <w:sz w:val="24"/>
          <w:szCs w:val="24"/>
        </w:rPr>
        <w:t>3.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pPr>
        <w:pStyle w:val="Normal"/>
        <w:spacing w:lineRule="auto" w:line="240"/>
        <w:ind w:firstLine="709"/>
        <w:jc w:val="both"/>
        <w:rPr/>
      </w:pPr>
      <w:r>
        <w:rPr>
          <w:rFonts w:cs="Times New Roman" w:ascii="Times New Roman" w:hAnsi="Times New Roman"/>
          <w:sz w:val="24"/>
          <w:szCs w:val="24"/>
        </w:rPr>
        <w:t>4. Наличие на земельном участке специализированной техники, используемой для снятия и (или) перемещения плодородного слоя почвы.</w:t>
      </w:r>
    </w:p>
    <w:p>
      <w:pPr>
        <w:pStyle w:val="Normal"/>
        <w:spacing w:lineRule="auto" w:line="240"/>
        <w:ind w:firstLine="709"/>
        <w:jc w:val="both"/>
        <w:rPr/>
      </w:pPr>
      <w:r>
        <w:rPr>
          <w:rFonts w:cs="Times New Roman" w:ascii="Times New Roman" w:hAnsi="Times New Roman"/>
          <w:sz w:val="24"/>
          <w:szCs w:val="24"/>
        </w:rPr>
        <w:t>5.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pPr>
        <w:pStyle w:val="Normal"/>
        <w:spacing w:lineRule="auto" w:line="240"/>
        <w:ind w:firstLine="709"/>
        <w:jc w:val="both"/>
        <w:rPr/>
      </w:pPr>
      <w:r>
        <w:rPr>
          <w:rFonts w:cs="Times New Roman" w:ascii="Times New Roman" w:hAnsi="Times New Roman"/>
          <w:sz w:val="24"/>
          <w:szCs w:val="24"/>
        </w:rPr>
        <w:t xml:space="preserve">6. Наличие сведений о смене собственников в отношении одного земельного участка более одного раза в течение 1 календарного года по информации, содержащейся в Едином государственном реестре недвижимости  (далее </w:t>
      </w:r>
      <w:r>
        <w:rPr>
          <w:rFonts w:eastAsia="Symbol" w:cs="Times New Roman" w:ascii="Times New Roman" w:hAnsi="Times New Roman"/>
          <w:sz w:val="24"/>
          <w:szCs w:val="24"/>
        </w:rPr>
        <w:t xml:space="preserve">-  </w:t>
      </w:r>
      <w:r>
        <w:rPr>
          <w:rFonts w:cs="Times New Roman" w:ascii="Times New Roman" w:hAnsi="Times New Roman"/>
          <w:sz w:val="24"/>
          <w:szCs w:val="24"/>
        </w:rPr>
        <w:t>ЕГРН).</w:t>
      </w:r>
    </w:p>
    <w:p>
      <w:pPr>
        <w:pStyle w:val="Normal"/>
        <w:spacing w:lineRule="auto" w:line="240"/>
        <w:ind w:firstLine="709"/>
        <w:jc w:val="both"/>
        <w:rPr/>
      </w:pPr>
      <w:r>
        <w:rPr>
          <w:rFonts w:cs="Times New Roman" w:ascii="Times New Roman" w:hAnsi="Times New Roman"/>
          <w:sz w:val="24"/>
          <w:szCs w:val="24"/>
        </w:rPr>
        <w:t>7. Отсутствие в ЕГРН сведений о правах на используемый юридическим лицом, индивидуальным предпринимателем, гражданином земельный участок.</w:t>
      </w:r>
    </w:p>
    <w:p>
      <w:pPr>
        <w:pStyle w:val="Normal"/>
        <w:spacing w:lineRule="auto" w:line="240"/>
        <w:ind w:firstLine="709"/>
        <w:jc w:val="both"/>
        <w:rPr/>
      </w:pPr>
      <w:r>
        <w:rPr>
          <w:rFonts w:cs="Times New Roman" w:ascii="Times New Roman" w:hAnsi="Times New Roman"/>
          <w:sz w:val="24"/>
          <w:szCs w:val="24"/>
        </w:rPr>
        <w:t>8.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pPr>
        <w:pStyle w:val="Normal"/>
        <w:spacing w:lineRule="auto" w:line="264"/>
        <w:ind w:firstLine="709"/>
        <w:jc w:val="both"/>
        <w:rPr>
          <w:rFonts w:ascii="Times New Roman" w:hAnsi="Times New Roman" w:cs="Times New Roman"/>
          <w:sz w:val="24"/>
          <w:szCs w:val="24"/>
        </w:rPr>
      </w:pPr>
      <w:r>
        <w:rPr>
          <w:rFonts w:cs="Times New Roman" w:ascii="Times New Roman" w:hAnsi="Times New Roman"/>
          <w:sz w:val="24"/>
          <w:szCs w:val="24"/>
        </w:rPr>
        <w:t>9.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3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pPr>
        <w:pStyle w:val="Normal"/>
        <w:spacing w:lineRule="auto" w:line="240"/>
        <w:ind w:firstLine="709"/>
        <w:jc w:val="both"/>
        <w:rPr/>
      </w:pPr>
      <w:r>
        <w:rPr>
          <w:rFonts w:cs="Times New Roman" w:ascii="Times New Roman" w:hAnsi="Times New Roman"/>
          <w:sz w:val="24"/>
          <w:szCs w:val="24"/>
        </w:rPr>
        <w:t>10.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по истечении 1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Normal"/>
        <w:spacing w:lineRule="auto" w:line="240"/>
        <w:ind w:firstLine="709"/>
        <w:jc w:val="both"/>
        <w:rPr/>
      </w:pPr>
      <w:r>
        <w:rPr>
          <w:rFonts w:cs="Times New Roman" w:ascii="Times New Roman" w:hAnsi="Times New Roman"/>
          <w:sz w:val="24"/>
          <w:szCs w:val="24"/>
        </w:rPr>
        <w:t xml:space="preserve">11.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w:t>
      </w:r>
    </w:p>
    <w:p>
      <w:pPr>
        <w:pStyle w:val="Normal"/>
        <w:spacing w:lineRule="auto" w:line="240"/>
        <w:jc w:val="both"/>
        <w:rPr/>
      </w:pPr>
      <w:r>
        <w:rPr>
          <w:rFonts w:cs="Times New Roman" w:ascii="Times New Roman" w:hAnsi="Times New Roman"/>
          <w:sz w:val="24"/>
          <w:szCs w:val="24"/>
        </w:rPr>
        <w:t>6 предшествующих месяцев:</w:t>
      </w:r>
    </w:p>
    <w:p>
      <w:pPr>
        <w:pStyle w:val="Normal"/>
        <w:spacing w:lineRule="auto" w:line="240"/>
        <w:ind w:firstLine="709"/>
        <w:jc w:val="both"/>
        <w:rPr/>
      </w:pPr>
      <w:r>
        <w:rPr>
          <w:rFonts w:cs="Times New Roman" w:ascii="Times New Roman" w:hAnsi="Times New Roman"/>
          <w:sz w:val="24"/>
          <w:szCs w:val="24"/>
        </w:rPr>
        <w:t>-     проведения инженерных изысканий;</w:t>
      </w:r>
    </w:p>
    <w:p>
      <w:pPr>
        <w:pStyle w:val="Normal"/>
        <w:spacing w:lineRule="auto" w:line="240"/>
        <w:ind w:firstLine="709"/>
        <w:jc w:val="both"/>
        <w:rPr/>
      </w:pPr>
      <w:r>
        <w:rPr>
          <w:rFonts w:cs="Times New Roman" w:ascii="Times New Roman" w:hAnsi="Times New Roman"/>
          <w:sz w:val="24"/>
          <w:szCs w:val="24"/>
        </w:rPr>
        <w:t>-     капитального или текущего ремонта линейного объекта;</w:t>
      </w:r>
    </w:p>
    <w:p>
      <w:pPr>
        <w:pStyle w:val="Normal"/>
        <w:spacing w:lineRule="auto" w:line="240"/>
        <w:ind w:firstLine="709"/>
        <w:jc w:val="both"/>
        <w:rPr/>
      </w:pPr>
      <w:r>
        <w:rPr>
          <w:rFonts w:cs="Times New Roman" w:ascii="Times New Roman" w:hAnsi="Times New Roman"/>
          <w:sz w:val="24"/>
          <w:szCs w:val="24"/>
        </w:rPr>
        <w:t>-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Normal"/>
        <w:spacing w:lineRule="auto" w:line="240"/>
        <w:ind w:firstLine="709"/>
        <w:jc w:val="both"/>
        <w:rPr/>
      </w:pPr>
      <w:r>
        <w:rPr>
          <w:rFonts w:cs="Times New Roman" w:ascii="Times New Roman" w:hAnsi="Times New Roman"/>
          <w:sz w:val="24"/>
          <w:szCs w:val="24"/>
        </w:rPr>
        <w:t>-    осуществления геологического изучения недр;</w:t>
      </w:r>
    </w:p>
    <w:p>
      <w:pPr>
        <w:pStyle w:val="Normal"/>
        <w:spacing w:lineRule="auto" w:line="240"/>
        <w:jc w:val="both"/>
        <w:rPr/>
      </w:pPr>
      <w:r>
        <w:rPr>
          <w:rFonts w:cs="Times New Roman" w:ascii="Times New Roman" w:hAnsi="Times New Roman"/>
          <w:sz w:val="24"/>
          <w:szCs w:val="24"/>
        </w:rPr>
        <w:t xml:space="preserve">    </w:t>
      </w:r>
      <w:r>
        <w:rPr>
          <w:rFonts w:cs="Times New Roman" w:ascii="Times New Roman" w:hAnsi="Times New Roman"/>
          <w:sz w:val="24"/>
          <w:szCs w:val="24"/>
        </w:rPr>
        <w:tab/>
        <w:t>- возведения некапитальных строений, сооружений, предназначенных для осуществления товарной аквакультуры (товарного рыбоводства);</w:t>
      </w:r>
    </w:p>
    <w:p>
      <w:pPr>
        <w:pStyle w:val="Normal"/>
        <w:spacing w:lineRule="auto" w:line="240"/>
        <w:ind w:firstLine="709"/>
        <w:jc w:val="both"/>
        <w:rPr/>
      </w:pPr>
      <w:r>
        <w:rPr>
          <w:rFonts w:cs="Times New Roman" w:ascii="Times New Roman" w:hAnsi="Times New Roman"/>
          <w:sz w:val="24"/>
          <w:szCs w:val="24"/>
        </w:rPr>
        <w:t>- работ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Normal"/>
        <w:spacing w:lineRule="auto" w:line="240"/>
        <w:ind w:firstLine="709"/>
        <w:jc w:val="both"/>
        <w:rPr/>
      </w:pPr>
      <w:r>
        <w:rPr>
          <w:rFonts w:cs="Times New Roman" w:ascii="Times New Roman" w:hAnsi="Times New Roman"/>
          <w:sz w:val="24"/>
          <w:szCs w:val="24"/>
        </w:rPr>
        <w:t>12. Наличие у контрольного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rPr/>
      </w:pPr>
      <w:r>
        <w:rPr/>
      </w:r>
    </w:p>
    <w:sectPr>
      <w:headerReference w:type="default" r:id="rId2"/>
      <w:type w:val="nextPage"/>
      <w:pgSz w:w="11906" w:h="16838"/>
      <w:pgMar w:left="1701" w:right="850" w:gutter="0" w:header="720" w:top="1134" w:footer="0" w:bottom="85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XO Thames">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fldChar w:fldCharType="begin"/>
    </w:r>
    <w:r>
      <w:rPr>
        <w:sz w:val="24"/>
        <w:szCs w:val="24"/>
      </w:rPr>
    </w:r>
    <w:r>
      <w:rPr>
        <w:sz w:val="24"/>
        <w:szCs w:val="24"/>
      </w:rPr>
    </w:r>
    <w:r>
      <w:rPr>
        <w:sz w:val="24"/>
        <w:szCs w:val="24"/>
      </w:rPr>
      <w:fldChar w:fldCharType="separate"/>
    </w:r>
    <w:r>
      <w:rPr>
        <w:sz w:val="24"/>
        <w:szCs w:val="24"/>
      </w:rPr>
    </w:r>
    <w:r>
      <w:rPr>
        <w:sz w:val="24"/>
        <w:szCs w:val="24"/>
      </w:rPr>
    </w:r>
    <w:r>
      <w:rPr>
        <w:sz w:val="24"/>
        <w:szCs w:val="24"/>
      </w:rPr>
      <w:fldChar w:fldCharType="end"/>
    </w:r>
    <w:sdt>
      <w:sdtPr>
        <w:id w:val="336809917"/>
      </w:sdtPr>
      <w:sdtContent>
        <w:r>
          <w:rPr/>
          <w:t xml:space="preserve"> PAGE   \* MERGEFORMAT 2</w:t>
        </w:r>
      </w:sdtContent>
    </w:sdt>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123b"/>
    <w:pPr>
      <w:widowControl/>
      <w:suppressAutoHyphens w:val="true"/>
      <w:bidi w:val="0"/>
      <w:spacing w:lineRule="auto" w:line="276" w:before="0" w:after="0"/>
      <w:jc w:val="left"/>
    </w:pPr>
    <w:rPr>
      <w:rFonts w:ascii="Calibri" w:hAnsi="Calibri" w:eastAsia="Calibri" w:cs="" w:asciiTheme="minorHAnsi" w:cstheme="minorBidi" w:eastAsiaTheme="minorHAnsi" w:hAnsiTheme="minorHAnsi"/>
      <w:color w:val="auto"/>
      <w:kern w:val="0"/>
      <w:sz w:val="20"/>
      <w:szCs w:val="22"/>
      <w:lang w:val="ru-RU" w:eastAsia="en-US" w:bidi="ar-SA"/>
    </w:rPr>
  </w:style>
  <w:style w:type="character" w:styleId="DefaultParagraphFont" w:default="1">
    <w:name w:val="Default Paragraph Font"/>
    <w:uiPriority w:val="1"/>
    <w:semiHidden/>
    <w:unhideWhenUsed/>
    <w:qFormat/>
    <w:rPr/>
  </w:style>
  <w:style w:type="character" w:styleId="1" w:customStyle="1">
    <w:name w:val="Оглавление 1 Знак"/>
    <w:link w:val="11"/>
    <w:qFormat/>
    <w:locked/>
    <w:rsid w:val="00f1123b"/>
    <w:rPr>
      <w:rFonts w:ascii="XO Thames" w:hAnsi="XO Thames" w:eastAsia="Times New Roman" w:cs="Times New Roman"/>
      <w:b/>
      <w:sz w:val="20"/>
      <w:szCs w:val="20"/>
    </w:rPr>
  </w:style>
  <w:style w:type="character" w:styleId="Style14" w:customStyle="1">
    <w:name w:val="Верхний колонтитул Знак"/>
    <w:basedOn w:val="DefaultParagraphFont"/>
    <w:uiPriority w:val="99"/>
    <w:qFormat/>
    <w:rsid w:val="00f1123b"/>
    <w:rPr>
      <w:sz w:val="20"/>
    </w:rPr>
  </w:style>
  <w:style w:type="character" w:styleId="Style15" w:customStyle="1">
    <w:name w:val="Нижний колонтитул Знак"/>
    <w:basedOn w:val="DefaultParagraphFont"/>
    <w:uiPriority w:val="99"/>
    <w:semiHidden/>
    <w:qFormat/>
    <w:rsid w:val="00f1123b"/>
    <w:rPr>
      <w:sz w:val="20"/>
    </w:rPr>
  </w:style>
  <w:style w:type="character" w:styleId="Style16" w:customStyle="1">
    <w:name w:val="Текст выноски Знак"/>
    <w:basedOn w:val="DefaultParagraphFont"/>
    <w:link w:val="BalloonText"/>
    <w:uiPriority w:val="99"/>
    <w:semiHidden/>
    <w:qFormat/>
    <w:rsid w:val="00b555e6"/>
    <w:rPr>
      <w:rFonts w:ascii="Tahoma" w:hAnsi="Tahoma" w:cs="Tahoma"/>
      <w:sz w:val="16"/>
      <w:szCs w:val="16"/>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11" w:customStyle="1">
    <w:name w:val="Обычный1"/>
    <w:link w:val="1"/>
    <w:qFormat/>
    <w:rsid w:val="00f1123b"/>
    <w:pPr>
      <w:widowControl/>
      <w:suppressAutoHyphens w:val="true"/>
      <w:bidi w:val="0"/>
      <w:spacing w:lineRule="auto" w:line="276" w:before="0" w:after="200"/>
      <w:jc w:val="left"/>
      <w:textAlignment w:val="baseline"/>
    </w:pPr>
    <w:rPr>
      <w:rFonts w:ascii="XO Thames" w:hAnsi="XO Thames" w:eastAsia="Times New Roman" w:cs="Times New Roman"/>
      <w:b/>
      <w:color w:val="auto"/>
      <w:kern w:val="0"/>
      <w:sz w:val="20"/>
      <w:szCs w:val="20"/>
      <w:lang w:val="ru-RU" w:eastAsia="en-US" w:bidi="ar-SA"/>
    </w:rPr>
  </w:style>
  <w:style w:type="paragraph" w:styleId="Style19">
    <w:name w:val="Колонтитул"/>
    <w:basedOn w:val="Normal"/>
    <w:qFormat/>
    <w:pPr/>
    <w:rPr/>
  </w:style>
  <w:style w:type="paragraph" w:styleId="Header">
    <w:name w:val="Header"/>
    <w:basedOn w:val="Normal"/>
    <w:link w:val="Style14"/>
    <w:uiPriority w:val="99"/>
    <w:unhideWhenUsed/>
    <w:rsid w:val="00f1123b"/>
    <w:pPr>
      <w:tabs>
        <w:tab w:val="clear" w:pos="708"/>
        <w:tab w:val="center" w:pos="4677" w:leader="none"/>
        <w:tab w:val="right" w:pos="9355" w:leader="none"/>
      </w:tabs>
      <w:spacing w:lineRule="auto" w:line="240"/>
    </w:pPr>
    <w:rPr/>
  </w:style>
  <w:style w:type="paragraph" w:styleId="Footer">
    <w:name w:val="Footer"/>
    <w:basedOn w:val="Normal"/>
    <w:link w:val="Style15"/>
    <w:uiPriority w:val="99"/>
    <w:semiHidden/>
    <w:unhideWhenUsed/>
    <w:rsid w:val="00f1123b"/>
    <w:pPr>
      <w:tabs>
        <w:tab w:val="clear" w:pos="708"/>
        <w:tab w:val="center" w:pos="4677" w:leader="none"/>
        <w:tab w:val="right" w:pos="9355" w:leader="none"/>
      </w:tabs>
      <w:spacing w:lineRule="auto" w:line="240"/>
    </w:pPr>
    <w:rPr/>
  </w:style>
  <w:style w:type="paragraph" w:styleId="BalloonText">
    <w:name w:val="Balloon Text"/>
    <w:basedOn w:val="Normal"/>
    <w:link w:val="Style16"/>
    <w:uiPriority w:val="99"/>
    <w:semiHidden/>
    <w:unhideWhenUsed/>
    <w:qFormat/>
    <w:rsid w:val="00b555e6"/>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LibreOffice/7.6.0.3$Windows_X86_64 LibreOffice_project/69edd8b8ebc41d00b4de3915dc82f8f0fc3b6265</Application>
  <AppVersion>15.0000</AppVersion>
  <Pages>2</Pages>
  <Words>660</Words>
  <Characters>5033</Characters>
  <CharactersWithSpaces>5958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2025-04-02T12:19:00Z</dcterms:created>
  <dc:creator>hodinan</dc:creator>
  <dc:description/>
  <dc:language>ru-RU</dc:language>
  <cp:lastModifiedBy/>
  <dcterms:modified xsi:type="dcterms:W3CDTF">2025-05-13T16:45:12Z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