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211"/>
        <w:spacing w:lineRule="auto" w:line="240" w:before="0" w:after="0"/>
        <w:ind w:left="10773"/>
        <w:rPr/>
      </w:pPr>
      <w:r>
        <w:rPr/>
        <w:t>Приложение</w:t>
      </w:r>
    </w:p>
    <w:p>
      <w:pPr>
        <w:pStyle w:val="211"/>
        <w:spacing w:lineRule="auto" w:line="240" w:before="0" w:after="0"/>
        <w:ind w:left="10773"/>
        <w:rPr/>
      </w:pPr>
      <w:r>
        <w:rPr/>
        <w:t xml:space="preserve">к постановлению администрации городского округа города Калуги </w:t>
      </w:r>
    </w:p>
    <w:p>
      <w:pPr>
        <w:pStyle w:val="211"/>
        <w:spacing w:lineRule="auto" w:line="240" w:before="0" w:after="0"/>
        <w:ind w:left="10773"/>
        <w:rPr/>
      </w:pPr>
      <w:r>
        <w:rPr/>
        <w:t xml:space="preserve">от </w:t>
      </w:r>
      <w:r>
        <w:rPr/>
        <w:t xml:space="preserve">22.09.2026 </w:t>
      </w:r>
      <w:r>
        <w:rPr/>
        <w:t xml:space="preserve">№ </w:t>
      </w:r>
      <w:r>
        <w:rPr/>
        <w:t>442-п</w:t>
      </w:r>
    </w:p>
    <w:p>
      <w:pPr>
        <w:pStyle w:val="211"/>
        <w:spacing w:lineRule="auto" w:line="240" w:before="0" w:after="0"/>
        <w:ind w:left="5245"/>
        <w:rPr/>
      </w:pPr>
      <w:r>
        <w:rPr/>
      </w:r>
    </w:p>
    <w:p>
      <w:pPr>
        <w:pStyle w:val="211"/>
        <w:spacing w:lineRule="auto" w:line="240" w:before="0" w:after="0"/>
        <w:ind w:left="0"/>
        <w:jc w:val="center"/>
        <w:rPr>
          <w:b/>
          <w:bCs/>
          <w:color w:val="000000"/>
          <w:lang w:eastAsia="ru-RU"/>
        </w:rPr>
      </w:pPr>
      <w:r>
        <w:rPr>
          <w:b/>
          <w:bCs/>
          <w:color w:val="000000"/>
          <w:lang w:eastAsia="ru-RU"/>
        </w:rPr>
        <w:t xml:space="preserve">Основные показатели прогноза социально-экономического развития </w:t>
      </w:r>
    </w:p>
    <w:p>
      <w:pPr>
        <w:pStyle w:val="211"/>
        <w:spacing w:lineRule="auto" w:line="240" w:before="0" w:after="0"/>
        <w:ind w:left="0"/>
        <w:jc w:val="center"/>
        <w:rPr/>
      </w:pPr>
      <w:bookmarkStart w:id="0" w:name="_Hlk209598312"/>
      <w:r>
        <w:rPr>
          <w:b/>
          <w:bCs/>
          <w:color w:val="000000"/>
          <w:lang w:eastAsia="ru-RU"/>
        </w:rPr>
        <w:t>городского округа города Калуги Калужской области</w:t>
      </w:r>
      <w:bookmarkEnd w:id="0"/>
      <w:r>
        <w:rPr>
          <w:b/>
          <w:bCs/>
          <w:color w:val="000000"/>
          <w:lang w:eastAsia="ru-RU"/>
        </w:rPr>
        <w:t xml:space="preserve"> </w:t>
      </w:r>
      <w:r>
        <w:rPr>
          <w:b/>
          <w:bCs/>
          <w:lang w:eastAsia="ru-RU"/>
        </w:rPr>
        <w:t>на 2027 год и на период 2028-2029 годов</w:t>
      </w:r>
    </w:p>
    <w:tbl>
      <w:tblPr>
        <w:tblW w:w="14601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253"/>
        <w:gridCol w:w="1133"/>
        <w:gridCol w:w="1844"/>
        <w:gridCol w:w="1841"/>
        <w:gridCol w:w="1844"/>
        <w:gridCol w:w="1843"/>
        <w:gridCol w:w="1842"/>
      </w:tblGrid>
      <w:tr>
        <w:trPr>
          <w:trHeight w:val="20" w:hRule="atLeast"/>
        </w:trPr>
        <w:tc>
          <w:tcPr>
            <w:tcW w:w="4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b/>
                <w:bCs/>
                <w:lang w:eastAsia="ru-RU"/>
              </w:rPr>
            </w:pPr>
            <w:bookmarkStart w:id="1" w:name="RANGE!A1%3AG53"/>
            <w:bookmarkEnd w:id="1"/>
            <w:r>
              <w:rPr>
                <w:b/>
                <w:bCs/>
                <w:lang w:eastAsia="ru-RU"/>
              </w:rPr>
              <w:t>Показатели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Ед. изм.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2025 г.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2026 г.</w:t>
            </w:r>
          </w:p>
        </w:tc>
        <w:tc>
          <w:tcPr>
            <w:tcW w:w="55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прогноз базовый</w:t>
            </w:r>
          </w:p>
        </w:tc>
      </w:tr>
      <w:tr>
        <w:trPr>
          <w:trHeight w:val="20" w:hRule="atLeast"/>
        </w:trPr>
        <w:tc>
          <w:tcPr>
            <w:tcW w:w="42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</w:r>
          </w:p>
        </w:tc>
        <w:tc>
          <w:tcPr>
            <w:tcW w:w="11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отчет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b/>
                <w:bCs/>
                <w:i/>
                <w:i/>
                <w:iCs/>
                <w:lang w:eastAsia="ru-RU"/>
              </w:rPr>
            </w:pPr>
            <w:r>
              <w:rPr>
                <w:b/>
                <w:bCs/>
                <w:i/>
                <w:iCs/>
                <w:lang w:eastAsia="ru-RU"/>
              </w:rPr>
              <w:t>оценка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2027 г.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2028 г.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2029 г.</w:t>
            </w:r>
          </w:p>
        </w:tc>
      </w:tr>
      <w:tr>
        <w:trPr>
          <w:trHeight w:val="20" w:hRule="atLeast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rPr>
                <w:lang w:eastAsia="ru-RU"/>
              </w:rPr>
            </w:pPr>
            <w:r>
              <w:rPr>
                <w:lang w:eastAsia="ru-RU"/>
              </w:rPr>
              <w:t>Численность работающих в среднегодовом исчислении по полному кругу предприятий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тыс. чел.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lang w:eastAsia="ru-RU"/>
              </w:rPr>
            </w:pPr>
            <w:r>
              <w:rPr/>
              <w:t>136,959</w:t>
            </w:r>
          </w:p>
        </w:tc>
        <w:tc>
          <w:tcPr>
            <w:tcW w:w="18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lang w:eastAsia="ru-RU"/>
              </w:rPr>
            </w:pPr>
            <w:r>
              <w:rPr/>
              <w:t>140,436</w:t>
            </w:r>
          </w:p>
        </w:tc>
        <w:tc>
          <w:tcPr>
            <w:tcW w:w="18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lang w:eastAsia="ru-RU"/>
              </w:rPr>
            </w:pPr>
            <w:r>
              <w:rPr/>
              <w:t>141,762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lang w:eastAsia="ru-RU"/>
              </w:rPr>
            </w:pPr>
            <w:r>
              <w:rPr/>
              <w:t>142,120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lang w:eastAsia="ru-RU"/>
              </w:rPr>
            </w:pPr>
            <w:r>
              <w:rPr/>
              <w:t>142,480</w:t>
            </w:r>
          </w:p>
        </w:tc>
      </w:tr>
      <w:tr>
        <w:trPr>
          <w:trHeight w:val="20" w:hRule="atLeast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rPr>
                <w:lang w:eastAsia="ru-RU"/>
              </w:rPr>
            </w:pPr>
            <w:r>
              <w:rPr>
                <w:lang w:eastAsia="ru-RU"/>
              </w:rPr>
              <w:t xml:space="preserve">Фонд оплаты труда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тыс. руб.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lang w:eastAsia="ru-RU"/>
              </w:rPr>
            </w:pPr>
            <w:r>
              <w:rPr>
                <w:color w:val="000000"/>
              </w:rPr>
              <w:t>144 693 966,99</w:t>
            </w:r>
          </w:p>
        </w:tc>
        <w:tc>
          <w:tcPr>
            <w:tcW w:w="18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lang w:eastAsia="ru-RU"/>
              </w:rPr>
            </w:pPr>
            <w:r>
              <w:rPr>
                <w:color w:val="000000"/>
              </w:rPr>
              <w:t>171 228 629,66</w:t>
            </w:r>
          </w:p>
        </w:tc>
        <w:tc>
          <w:tcPr>
            <w:tcW w:w="18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lang w:eastAsia="ru-RU"/>
              </w:rPr>
            </w:pPr>
            <w:r>
              <w:rPr>
                <w:color w:val="000000"/>
              </w:rPr>
              <w:t>186 727 388,65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lang w:eastAsia="ru-RU"/>
              </w:rPr>
            </w:pPr>
            <w:r>
              <w:rPr>
                <w:color w:val="000000"/>
              </w:rPr>
              <w:t>202 318 036,57</w:t>
            </w:r>
          </w:p>
        </w:tc>
        <w:tc>
          <w:tcPr>
            <w:tcW w:w="18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lang w:eastAsia="ru-RU"/>
              </w:rPr>
            </w:pPr>
            <w:r>
              <w:rPr>
                <w:color w:val="000000"/>
              </w:rPr>
              <w:t>219 413 752,97</w:t>
            </w:r>
          </w:p>
        </w:tc>
      </w:tr>
      <w:tr>
        <w:trPr>
          <w:trHeight w:val="20" w:hRule="atLeast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suppressAutoHyphens w:val="false"/>
              <w:rPr>
                <w:lang w:eastAsia="ru-RU"/>
              </w:rPr>
            </w:pPr>
            <w:r>
              <w:rPr>
                <w:lang w:eastAsia="ru-RU"/>
              </w:rPr>
              <w:t xml:space="preserve">Среднемесячная заработная плата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руб.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lang w:eastAsia="ru-RU"/>
              </w:rPr>
            </w:pPr>
            <w:r>
              <w:rPr>
                <w:color w:val="000000"/>
              </w:rPr>
              <w:t>88 039,71</w:t>
            </w:r>
          </w:p>
        </w:tc>
        <w:tc>
          <w:tcPr>
            <w:tcW w:w="18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lang w:eastAsia="ru-RU"/>
              </w:rPr>
            </w:pPr>
            <w:r>
              <w:rPr>
                <w:color w:val="000000"/>
              </w:rPr>
              <w:t>101 605,38</w:t>
            </w:r>
          </w:p>
        </w:tc>
        <w:tc>
          <w:tcPr>
            <w:tcW w:w="18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lang w:eastAsia="ru-RU"/>
              </w:rPr>
            </w:pPr>
            <w:r>
              <w:rPr>
                <w:color w:val="000000"/>
              </w:rPr>
              <w:t>109 765,97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lang w:eastAsia="ru-RU"/>
              </w:rPr>
            </w:pPr>
            <w:r>
              <w:rPr>
                <w:color w:val="000000"/>
              </w:rPr>
              <w:t>118 630,95</w:t>
            </w:r>
          </w:p>
        </w:tc>
        <w:tc>
          <w:tcPr>
            <w:tcW w:w="18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lang w:eastAsia="ru-RU"/>
              </w:rPr>
            </w:pPr>
            <w:r>
              <w:rPr>
                <w:color w:val="000000"/>
              </w:rPr>
              <w:t>128 330,39</w:t>
            </w:r>
          </w:p>
        </w:tc>
      </w:tr>
      <w:tr>
        <w:trPr>
          <w:trHeight w:val="20" w:hRule="atLeast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rPr>
                <w:lang w:eastAsia="ru-RU"/>
              </w:rPr>
            </w:pPr>
            <w:r>
              <w:rPr>
                <w:lang w:eastAsia="ru-RU"/>
              </w:rPr>
              <w:t>Прибыль прибыльных организаций по данным бухгалтерского учета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млн руб.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lang w:eastAsia="ru-RU"/>
              </w:rPr>
            </w:pPr>
            <w:r>
              <w:rPr>
                <w:color w:val="000000"/>
              </w:rPr>
              <w:t>101 194,09</w:t>
            </w:r>
          </w:p>
        </w:tc>
        <w:tc>
          <w:tcPr>
            <w:tcW w:w="18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lang w:eastAsia="ru-RU"/>
              </w:rPr>
            </w:pPr>
            <w:r>
              <w:rPr>
                <w:color w:val="000000"/>
              </w:rPr>
              <w:t>102 740,55</w:t>
            </w:r>
          </w:p>
        </w:tc>
        <w:tc>
          <w:tcPr>
            <w:tcW w:w="18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lang w:eastAsia="ru-RU"/>
              </w:rPr>
            </w:pPr>
            <w:r>
              <w:rPr>
                <w:color w:val="000000"/>
              </w:rPr>
              <w:t>103 557,70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lang w:eastAsia="ru-RU"/>
              </w:rPr>
            </w:pPr>
            <w:r>
              <w:rPr>
                <w:color w:val="000000"/>
              </w:rPr>
              <w:t>107 121,05</w:t>
            </w:r>
          </w:p>
        </w:tc>
        <w:tc>
          <w:tcPr>
            <w:tcW w:w="18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lang w:eastAsia="ru-RU"/>
              </w:rPr>
            </w:pPr>
            <w:r>
              <w:rPr>
                <w:color w:val="000000"/>
              </w:rPr>
              <w:t>111 079,64</w:t>
            </w:r>
          </w:p>
        </w:tc>
      </w:tr>
      <w:tr>
        <w:trPr>
          <w:trHeight w:val="20" w:hRule="atLeast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suppressAutoHyphens w:val="false"/>
              <w:rPr>
                <w:lang w:eastAsia="ru-RU"/>
              </w:rPr>
            </w:pPr>
            <w:r>
              <w:rPr>
                <w:lang w:eastAsia="ru-RU"/>
              </w:rPr>
              <w:t>Остаточная стоимость основных фондов (на конец года)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млн руб.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lang w:eastAsia="ru-RU"/>
              </w:rPr>
            </w:pPr>
            <w:r>
              <w:rPr>
                <w:color w:val="000000"/>
              </w:rPr>
              <w:t>237711287,0</w:t>
            </w:r>
          </w:p>
        </w:tc>
        <w:tc>
          <w:tcPr>
            <w:tcW w:w="18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lang w:eastAsia="ru-RU"/>
              </w:rPr>
            </w:pPr>
            <w:r>
              <w:rPr>
                <w:color w:val="000000"/>
              </w:rPr>
              <w:t>238899843,4</w:t>
            </w:r>
          </w:p>
        </w:tc>
        <w:tc>
          <w:tcPr>
            <w:tcW w:w="18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lang w:eastAsia="ru-RU"/>
              </w:rPr>
            </w:pPr>
            <w:r>
              <w:rPr>
                <w:color w:val="000000"/>
              </w:rPr>
              <w:t>241461743,3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lang w:eastAsia="ru-RU"/>
              </w:rPr>
            </w:pPr>
            <w:r>
              <w:rPr>
                <w:color w:val="000000"/>
              </w:rPr>
              <w:t>245083669,5</w:t>
            </w:r>
          </w:p>
        </w:tc>
        <w:tc>
          <w:tcPr>
            <w:tcW w:w="18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lang w:eastAsia="ru-RU"/>
              </w:rPr>
            </w:pPr>
            <w:r>
              <w:rPr>
                <w:color w:val="000000"/>
              </w:rPr>
              <w:t>250230426,5</w:t>
            </w:r>
          </w:p>
        </w:tc>
      </w:tr>
      <w:tr>
        <w:trPr>
          <w:trHeight w:val="20" w:hRule="atLeast"/>
        </w:trPr>
        <w:tc>
          <w:tcPr>
            <w:tcW w:w="146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rPr>
                <w:b/>
                <w:bCs/>
                <w:lang w:eastAsia="ru-RU"/>
              </w:rPr>
            </w:pPr>
            <w:r>
              <w:rPr>
                <w:b/>
                <w:bCs/>
                <w:i/>
                <w:iCs/>
                <w:lang w:eastAsia="ru-RU"/>
              </w:rPr>
              <w:t>Промышленное производство</w:t>
            </w:r>
          </w:p>
        </w:tc>
      </w:tr>
      <w:tr>
        <w:trPr>
          <w:trHeight w:val="20" w:hRule="atLeast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rPr>
                <w:lang w:eastAsia="ru-RU"/>
              </w:rPr>
            </w:pPr>
            <w:r>
              <w:rPr>
                <w:lang w:eastAsia="ru-RU"/>
              </w:rPr>
              <w:t>Объем отгруженной продукции (без НДС и акцизов) всего по разделам В, С, D, E ОКВЭД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тыс. руб.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>550 877 340,00</w:t>
            </w:r>
          </w:p>
        </w:tc>
        <w:tc>
          <w:tcPr>
            <w:tcW w:w="18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>657 290 837,00</w:t>
            </w:r>
          </w:p>
        </w:tc>
        <w:tc>
          <w:tcPr>
            <w:tcW w:w="18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>723 782 009,00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>776 789 512,00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>819 759 862,00</w:t>
            </w:r>
          </w:p>
        </w:tc>
      </w:tr>
      <w:tr>
        <w:trPr>
          <w:trHeight w:val="20" w:hRule="atLeast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rPr>
                <w:lang w:eastAsia="ru-RU"/>
              </w:rPr>
            </w:pPr>
            <w:r>
              <w:rPr>
                <w:lang w:eastAsia="ru-RU"/>
              </w:rPr>
              <w:t>Индекс промышленного производства всего по разделам В, С, D, E ОКВЭД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lang w:eastAsia="ru-RU"/>
              </w:rPr>
            </w:pPr>
            <w:r>
              <w:rPr>
                <w:lang w:eastAsia="ru-RU"/>
              </w:rPr>
              <w:t>%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lang w:eastAsia="ru-RU"/>
              </w:rPr>
            </w:pPr>
            <w:r>
              <w:rPr>
                <w:color w:val="000000"/>
              </w:rPr>
              <w:t>189</w:t>
            </w:r>
          </w:p>
        </w:tc>
        <w:tc>
          <w:tcPr>
            <w:tcW w:w="18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lang w:eastAsia="ru-RU"/>
              </w:rPr>
            </w:pPr>
            <w:r>
              <w:rPr>
                <w:color w:val="000000"/>
              </w:rPr>
              <w:t>105,2</w:t>
            </w:r>
          </w:p>
        </w:tc>
        <w:tc>
          <w:tcPr>
            <w:tcW w:w="18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lang w:eastAsia="ru-RU"/>
              </w:rPr>
            </w:pPr>
            <w:r>
              <w:rPr>
                <w:color w:val="000000"/>
              </w:rPr>
              <w:t>105,4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lang w:eastAsia="ru-RU"/>
              </w:rPr>
            </w:pPr>
            <w:r>
              <w:rPr>
                <w:color w:val="000000"/>
              </w:rPr>
              <w:t>105</w:t>
            </w:r>
          </w:p>
        </w:tc>
        <w:tc>
          <w:tcPr>
            <w:tcW w:w="18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lang w:eastAsia="ru-RU"/>
              </w:rPr>
            </w:pPr>
            <w:r>
              <w:rPr>
                <w:color w:val="000000"/>
              </w:rPr>
              <w:t>104,7</w:t>
            </w:r>
          </w:p>
        </w:tc>
      </w:tr>
      <w:tr>
        <w:trPr>
          <w:trHeight w:val="20" w:hRule="atLeast"/>
        </w:trPr>
        <w:tc>
          <w:tcPr>
            <w:tcW w:w="146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rPr>
                <w:lang w:eastAsia="ru-RU"/>
              </w:rPr>
            </w:pPr>
            <w:r>
              <w:rPr>
                <w:b/>
                <w:bCs/>
                <w:i/>
                <w:iCs/>
                <w:lang w:eastAsia="ru-RU"/>
              </w:rPr>
              <w:t>Сельское хозяйство</w:t>
            </w:r>
          </w:p>
        </w:tc>
      </w:tr>
      <w:tr>
        <w:trPr>
          <w:trHeight w:val="20" w:hRule="atLeast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rPr>
                <w:lang w:eastAsia="ru-RU"/>
              </w:rPr>
            </w:pPr>
            <w:r>
              <w:rPr>
                <w:lang w:eastAsia="ru-RU"/>
              </w:rPr>
              <w:t>Объем продукции сельского хозяйства в хозяйствах всех категорий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тыс. руб.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lang w:eastAsia="ru-RU"/>
              </w:rPr>
            </w:pPr>
            <w:r>
              <w:rPr/>
              <w:t>2 478 736,40</w:t>
            </w:r>
          </w:p>
        </w:tc>
        <w:tc>
          <w:tcPr>
            <w:tcW w:w="18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lang w:eastAsia="ru-RU"/>
              </w:rPr>
            </w:pPr>
            <w:r>
              <w:rPr/>
              <w:t>2 582 891,00</w:t>
            </w:r>
          </w:p>
        </w:tc>
        <w:tc>
          <w:tcPr>
            <w:tcW w:w="18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lang w:eastAsia="ru-RU"/>
              </w:rPr>
            </w:pPr>
            <w:r>
              <w:rPr/>
              <w:t>2 714 435,20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lang w:eastAsia="ru-RU"/>
              </w:rPr>
            </w:pPr>
            <w:r>
              <w:rPr/>
              <w:t>2 877 066,40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lang w:eastAsia="ru-RU"/>
              </w:rPr>
            </w:pPr>
            <w:r>
              <w:rPr/>
              <w:t>3 052 399,90</w:t>
            </w:r>
          </w:p>
        </w:tc>
      </w:tr>
      <w:tr>
        <w:trPr>
          <w:trHeight w:val="20" w:hRule="atLeast"/>
        </w:trPr>
        <w:tc>
          <w:tcPr>
            <w:tcW w:w="146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rPr>
                <w:lang w:eastAsia="ru-RU"/>
              </w:rPr>
            </w:pPr>
            <w:r>
              <w:rPr>
                <w:b/>
                <w:bCs/>
                <w:i/>
                <w:iCs/>
                <w:lang w:eastAsia="ru-RU"/>
              </w:rPr>
              <w:t>Инвестиции</w:t>
            </w:r>
          </w:p>
        </w:tc>
      </w:tr>
      <w:tr>
        <w:trPr>
          <w:trHeight w:val="20" w:hRule="atLeast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rPr>
                <w:lang w:eastAsia="ru-RU"/>
              </w:rPr>
            </w:pPr>
            <w:r>
              <w:rPr>
                <w:lang w:eastAsia="ru-RU"/>
              </w:rPr>
              <w:t>Инвестиции в основной капитал за счет всех источников финансирования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тыс. руб.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>80 328 993,80</w:t>
            </w:r>
          </w:p>
        </w:tc>
        <w:tc>
          <w:tcPr>
            <w:tcW w:w="18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>82 405 032,50</w:t>
            </w:r>
          </w:p>
        </w:tc>
        <w:tc>
          <w:tcPr>
            <w:tcW w:w="18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>89 095 639,44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>93 693 558,38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>98 303 279,26</w:t>
            </w:r>
          </w:p>
        </w:tc>
      </w:tr>
      <w:tr>
        <w:trPr>
          <w:trHeight w:val="20" w:hRule="atLeast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suppressAutoHyphens w:val="false"/>
              <w:rPr>
                <w:lang w:eastAsia="ru-RU"/>
              </w:rPr>
            </w:pPr>
            <w:r>
              <w:rPr>
                <w:lang w:eastAsia="ru-RU"/>
              </w:rPr>
              <w:t>Индекс физического объема (к предыдущему году в сопоставимых ценах)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lang w:eastAsia="ru-RU"/>
              </w:rPr>
            </w:pPr>
            <w:r>
              <w:rPr>
                <w:lang w:eastAsia="ru-RU"/>
              </w:rPr>
              <w:t>%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>130,26</w:t>
            </w:r>
          </w:p>
        </w:tc>
        <w:tc>
          <w:tcPr>
            <w:tcW w:w="18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>96,32</w:t>
            </w:r>
          </w:p>
        </w:tc>
        <w:tc>
          <w:tcPr>
            <w:tcW w:w="18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>102,97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>101,02</w:t>
            </w:r>
          </w:p>
        </w:tc>
        <w:tc>
          <w:tcPr>
            <w:tcW w:w="18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>100,79</w:t>
            </w:r>
          </w:p>
        </w:tc>
      </w:tr>
      <w:tr>
        <w:trPr>
          <w:trHeight w:val="20" w:hRule="atLeast"/>
        </w:trPr>
        <w:tc>
          <w:tcPr>
            <w:tcW w:w="146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rPr>
                <w:lang w:eastAsia="ru-RU"/>
              </w:rPr>
            </w:pPr>
            <w:r>
              <w:rPr>
                <w:lang w:eastAsia="ru-RU"/>
              </w:rPr>
              <w:t>из них:</w:t>
            </w:r>
          </w:p>
        </w:tc>
      </w:tr>
      <w:tr>
        <w:trPr>
          <w:trHeight w:val="20" w:hRule="atLeast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suppressAutoHyphens w:val="false"/>
              <w:rPr>
                <w:lang w:eastAsia="ru-RU"/>
              </w:rPr>
            </w:pPr>
            <w:r>
              <w:rPr>
                <w:lang w:eastAsia="ru-RU"/>
              </w:rPr>
              <w:t>Собственные средства организаций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тыс. руб.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>40 954 256,00</w:t>
            </w:r>
          </w:p>
        </w:tc>
        <w:tc>
          <w:tcPr>
            <w:tcW w:w="18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>43 637 917,50</w:t>
            </w:r>
          </w:p>
        </w:tc>
        <w:tc>
          <w:tcPr>
            <w:tcW w:w="18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lang w:eastAsia="ru-RU"/>
              </w:rPr>
            </w:pPr>
            <w:r>
              <w:rPr/>
              <w:t>45 904 868,20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lang w:eastAsia="ru-RU"/>
              </w:rPr>
            </w:pPr>
            <w:r>
              <w:rPr/>
              <w:t>47 908 725,40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lang w:eastAsia="ru-RU"/>
              </w:rPr>
            </w:pPr>
            <w:r>
              <w:rPr/>
              <w:t>50 038 148,80</w:t>
            </w:r>
          </w:p>
        </w:tc>
      </w:tr>
      <w:tr>
        <w:trPr>
          <w:trHeight w:val="20" w:hRule="atLeast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suppressAutoHyphens w:val="false"/>
              <w:rPr>
                <w:lang w:eastAsia="ru-RU"/>
              </w:rPr>
            </w:pPr>
            <w:r>
              <w:rPr>
                <w:lang w:eastAsia="ru-RU"/>
              </w:rPr>
              <w:t>Средства бюджетов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тыс. руб.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>28 478 161,00</w:t>
            </w:r>
          </w:p>
        </w:tc>
        <w:tc>
          <w:tcPr>
            <w:tcW w:w="18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lang w:eastAsia="ru-RU"/>
              </w:rPr>
            </w:pPr>
            <w:r>
              <w:rPr/>
              <w:t>30 329 241,47</w:t>
            </w:r>
          </w:p>
        </w:tc>
        <w:tc>
          <w:tcPr>
            <w:tcW w:w="18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lang w:eastAsia="ru-RU"/>
              </w:rPr>
            </w:pPr>
            <w:r>
              <w:rPr/>
              <w:t>31 845 703,54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lang w:eastAsia="ru-RU"/>
              </w:rPr>
            </w:pPr>
            <w:r>
              <w:rPr/>
              <w:t>33 151 377,38</w:t>
            </w:r>
          </w:p>
        </w:tc>
        <w:tc>
          <w:tcPr>
            <w:tcW w:w="18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lang w:eastAsia="ru-RU"/>
              </w:rPr>
            </w:pPr>
            <w:r>
              <w:rPr/>
              <w:t>34 510 583,86</w:t>
            </w:r>
          </w:p>
        </w:tc>
      </w:tr>
      <w:tr>
        <w:trPr>
          <w:trHeight w:val="20" w:hRule="atLeast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suppressAutoHyphens w:val="false"/>
              <w:rPr>
                <w:lang w:eastAsia="ru-RU"/>
              </w:rPr>
            </w:pPr>
            <w:r>
              <w:rPr>
                <w:lang w:eastAsia="ru-RU"/>
              </w:rPr>
              <w:t>Прочие источники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тыс. руб.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>10 896 576,80</w:t>
            </w:r>
          </w:p>
        </w:tc>
        <w:tc>
          <w:tcPr>
            <w:tcW w:w="18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lang w:eastAsia="ru-RU"/>
              </w:rPr>
            </w:pPr>
            <w:r>
              <w:rPr/>
              <w:t>8 437 873,53</w:t>
            </w:r>
          </w:p>
        </w:tc>
        <w:tc>
          <w:tcPr>
            <w:tcW w:w="18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lang w:eastAsia="ru-RU"/>
              </w:rPr>
            </w:pPr>
            <w:r>
              <w:rPr/>
              <w:t>11 345 067,70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lang w:eastAsia="ru-RU"/>
              </w:rPr>
            </w:pPr>
            <w:r>
              <w:rPr/>
              <w:t>12 633 455,60</w:t>
            </w:r>
          </w:p>
        </w:tc>
        <w:tc>
          <w:tcPr>
            <w:tcW w:w="18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lang w:eastAsia="ru-RU"/>
              </w:rPr>
            </w:pPr>
            <w:r>
              <w:rPr/>
              <w:t>13 754 546,60</w:t>
            </w:r>
          </w:p>
        </w:tc>
      </w:tr>
      <w:tr>
        <w:trPr>
          <w:trHeight w:val="20" w:hRule="atLeast"/>
        </w:trPr>
        <w:tc>
          <w:tcPr>
            <w:tcW w:w="146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rPr>
                <w:lang w:eastAsia="ru-RU"/>
              </w:rPr>
            </w:pPr>
            <w:r>
              <w:rPr>
                <w:lang w:eastAsia="ru-RU"/>
              </w:rPr>
              <w:t>из них:</w:t>
            </w:r>
          </w:p>
        </w:tc>
      </w:tr>
      <w:tr>
        <w:trPr>
          <w:trHeight w:val="20" w:hRule="atLeast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suppressAutoHyphens w:val="false"/>
              <w:rPr>
                <w:lang w:eastAsia="ru-RU"/>
              </w:rPr>
            </w:pPr>
            <w:r>
              <w:rPr>
                <w:lang w:eastAsia="ru-RU"/>
              </w:rPr>
              <w:t>Средств населения на ИЖС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тыс. руб.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>5 274 188,10</w:t>
            </w:r>
          </w:p>
        </w:tc>
        <w:tc>
          <w:tcPr>
            <w:tcW w:w="18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>6 231 829,40</w:t>
            </w:r>
          </w:p>
        </w:tc>
        <w:tc>
          <w:tcPr>
            <w:tcW w:w="18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lang w:eastAsia="ru-RU"/>
              </w:rPr>
            </w:pPr>
            <w:r>
              <w:rPr/>
              <w:t>5 065 155,10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lang w:eastAsia="ru-RU"/>
              </w:rPr>
            </w:pPr>
            <w:r>
              <w:rPr/>
              <w:t>6 102 377,20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lang w:eastAsia="ru-RU"/>
              </w:rPr>
            </w:pPr>
            <w:r>
              <w:rPr/>
              <w:t>7 115 623,10</w:t>
            </w:r>
          </w:p>
        </w:tc>
      </w:tr>
      <w:tr>
        <w:trPr>
          <w:trHeight w:val="20" w:hRule="atLeast"/>
        </w:trPr>
        <w:tc>
          <w:tcPr>
            <w:tcW w:w="146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rPr>
                <w:b/>
                <w:bCs/>
                <w:i/>
                <w:i/>
                <w:iCs/>
                <w:lang w:eastAsia="ru-RU"/>
              </w:rPr>
            </w:pPr>
            <w:r>
              <w:rPr>
                <w:b/>
                <w:bCs/>
                <w:i/>
                <w:iCs/>
                <w:lang w:eastAsia="ru-RU"/>
              </w:rPr>
              <w:t>Строительство</w:t>
            </w:r>
          </w:p>
        </w:tc>
      </w:tr>
      <w:tr>
        <w:trPr>
          <w:trHeight w:val="20" w:hRule="atLeast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suppressAutoHyphens w:val="false"/>
              <w:rPr>
                <w:lang w:eastAsia="ru-RU"/>
              </w:rPr>
            </w:pPr>
            <w:r>
              <w:rPr>
                <w:lang w:eastAsia="ru-RU"/>
              </w:rPr>
              <w:t>Объем работ, выполненных по виду деятельности «Строительство»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тыс. руб.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lang w:eastAsia="ru-RU"/>
              </w:rPr>
            </w:pPr>
            <w:r>
              <w:rPr>
                <w:color w:val="000000"/>
              </w:rPr>
              <w:t>51 254 780,80</w:t>
            </w:r>
          </w:p>
        </w:tc>
        <w:tc>
          <w:tcPr>
            <w:tcW w:w="18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lang w:eastAsia="ru-RU"/>
              </w:rPr>
            </w:pPr>
            <w:r>
              <w:rPr>
                <w:color w:val="000000"/>
              </w:rPr>
              <w:t>54 531 067,60</w:t>
            </w:r>
          </w:p>
        </w:tc>
        <w:tc>
          <w:tcPr>
            <w:tcW w:w="18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lang w:eastAsia="ru-RU"/>
              </w:rPr>
            </w:pPr>
            <w:r>
              <w:rPr>
                <w:color w:val="000000"/>
              </w:rPr>
              <w:t>57 392 027,70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lang w:eastAsia="ru-RU"/>
              </w:rPr>
            </w:pPr>
            <w:r>
              <w:rPr>
                <w:color w:val="000000"/>
              </w:rPr>
              <w:t>60 002 492,80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lang w:eastAsia="ru-RU"/>
              </w:rPr>
            </w:pPr>
            <w:r>
              <w:rPr>
                <w:color w:val="000000"/>
              </w:rPr>
              <w:t>62 592 590,00</w:t>
            </w:r>
          </w:p>
        </w:tc>
      </w:tr>
      <w:tr>
        <w:trPr>
          <w:trHeight w:val="20" w:hRule="atLeast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suppressAutoHyphens w:val="false"/>
              <w:rPr>
                <w:lang w:eastAsia="ru-RU"/>
              </w:rPr>
            </w:pPr>
            <w:r>
              <w:rPr>
                <w:lang w:eastAsia="ru-RU"/>
              </w:rPr>
              <w:t>Индекс физического объема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lang w:eastAsia="ru-RU"/>
              </w:rPr>
            </w:pPr>
            <w:r>
              <w:rPr>
                <w:lang w:eastAsia="ru-RU"/>
              </w:rPr>
              <w:t>%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lang w:eastAsia="ru-RU"/>
              </w:rPr>
            </w:pPr>
            <w:r>
              <w:rPr/>
              <w:t>94,51</w:t>
            </w:r>
          </w:p>
        </w:tc>
        <w:tc>
          <w:tcPr>
            <w:tcW w:w="18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lang w:eastAsia="ru-RU"/>
              </w:rPr>
            </w:pPr>
            <w:r>
              <w:rPr/>
              <w:t>100,37</w:t>
            </w:r>
          </w:p>
        </w:tc>
        <w:tc>
          <w:tcPr>
            <w:tcW w:w="18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lang w:eastAsia="ru-RU"/>
              </w:rPr>
            </w:pPr>
            <w:r>
              <w:rPr/>
              <w:t>100,52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lang w:eastAsia="ru-RU"/>
              </w:rPr>
            </w:pPr>
            <w:r>
              <w:rPr/>
              <w:t>100,33</w:t>
            </w:r>
          </w:p>
        </w:tc>
        <w:tc>
          <w:tcPr>
            <w:tcW w:w="18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lang w:eastAsia="ru-RU"/>
              </w:rPr>
            </w:pPr>
            <w:r>
              <w:rPr/>
              <w:t>100,40</w:t>
            </w:r>
          </w:p>
        </w:tc>
      </w:tr>
      <w:tr>
        <w:trPr>
          <w:trHeight w:val="20" w:hRule="atLeast"/>
        </w:trPr>
        <w:tc>
          <w:tcPr>
            <w:tcW w:w="146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rPr>
                <w:lang w:eastAsia="ru-RU"/>
              </w:rPr>
            </w:pPr>
            <w:r>
              <w:rPr>
                <w:b/>
                <w:bCs/>
                <w:i/>
                <w:iCs/>
                <w:lang w:eastAsia="ru-RU"/>
              </w:rPr>
              <w:t>Прогноз роста цен и тарифов на естественные монополии</w:t>
            </w:r>
          </w:p>
        </w:tc>
      </w:tr>
      <w:tr>
        <w:trPr>
          <w:trHeight w:val="20" w:hRule="atLeast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suppressAutoHyphens w:val="false"/>
              <w:rPr>
                <w:lang w:eastAsia="ru-RU"/>
              </w:rPr>
            </w:pPr>
            <w:r>
              <w:rPr>
                <w:lang w:eastAsia="ru-RU"/>
              </w:rPr>
              <w:t>Тариф на электроэнергию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lang w:eastAsia="ru-RU"/>
              </w:rPr>
            </w:pPr>
            <w:r>
              <w:rPr>
                <w:lang w:eastAsia="ru-RU"/>
              </w:rPr>
              <w:t>%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>с 1 июля 112,5</w:t>
            </w:r>
          </w:p>
        </w:tc>
        <w:tc>
          <w:tcPr>
            <w:tcW w:w="18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 xml:space="preserve">с 1 января            101,7       </w:t>
              <w:br/>
              <w:t>с 1 октября 111,2</w:t>
            </w:r>
          </w:p>
        </w:tc>
        <w:tc>
          <w:tcPr>
            <w:tcW w:w="18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>108,6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>109,1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>105,0</w:t>
            </w:r>
          </w:p>
        </w:tc>
      </w:tr>
      <w:tr>
        <w:trPr>
          <w:trHeight w:val="20" w:hRule="atLeast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suppressAutoHyphens w:val="false"/>
              <w:rPr>
                <w:lang w:eastAsia="ru-RU"/>
              </w:rPr>
            </w:pPr>
            <w:r>
              <w:rPr>
                <w:lang w:eastAsia="ru-RU"/>
              </w:rPr>
              <w:t>Тариф на газ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lang w:eastAsia="ru-RU"/>
              </w:rPr>
            </w:pPr>
            <w:r>
              <w:rPr>
                <w:lang w:eastAsia="ru-RU"/>
              </w:rPr>
              <w:t>%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>с 1 июля 110,3</w:t>
            </w:r>
          </w:p>
        </w:tc>
        <w:tc>
          <w:tcPr>
            <w:tcW w:w="18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 xml:space="preserve">с 1 января          101,7        </w:t>
              <w:br/>
              <w:t xml:space="preserve"> с 1 октября 110,1</w:t>
            </w:r>
          </w:p>
        </w:tc>
        <w:tc>
          <w:tcPr>
            <w:tcW w:w="18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>109,1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>107,0</w:t>
            </w:r>
          </w:p>
        </w:tc>
        <w:tc>
          <w:tcPr>
            <w:tcW w:w="18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>107,0</w:t>
            </w:r>
          </w:p>
        </w:tc>
      </w:tr>
      <w:tr>
        <w:trPr>
          <w:trHeight w:val="20" w:hRule="atLeast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suppressAutoHyphens w:val="false"/>
              <w:rPr>
                <w:lang w:eastAsia="ru-RU"/>
              </w:rPr>
            </w:pPr>
            <w:r>
              <w:rPr>
                <w:lang w:eastAsia="ru-RU"/>
              </w:rPr>
              <w:t>Тариф на тепловую энергию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lang w:eastAsia="ru-RU"/>
              </w:rPr>
            </w:pPr>
            <w:r>
              <w:rPr>
                <w:lang w:eastAsia="ru-RU"/>
              </w:rPr>
              <w:t>%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>с 1 июля 111,9</w:t>
            </w:r>
          </w:p>
        </w:tc>
        <w:tc>
          <w:tcPr>
            <w:tcW w:w="18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 xml:space="preserve">с 1 января            101,7      </w:t>
              <w:br/>
              <w:t xml:space="preserve"> с 1 октября 108,5</w:t>
            </w:r>
          </w:p>
        </w:tc>
        <w:tc>
          <w:tcPr>
            <w:tcW w:w="18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>108,7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>107,1</w:t>
            </w:r>
          </w:p>
        </w:tc>
        <w:tc>
          <w:tcPr>
            <w:tcW w:w="18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>106,1</w:t>
            </w:r>
          </w:p>
        </w:tc>
      </w:tr>
      <w:tr>
        <w:trPr>
          <w:trHeight w:val="20" w:hRule="atLeast"/>
        </w:trPr>
        <w:tc>
          <w:tcPr>
            <w:tcW w:w="146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rPr>
                <w:b/>
                <w:bCs/>
                <w:color w:val="000000"/>
                <w:lang w:eastAsia="ru-RU"/>
              </w:rPr>
            </w:pPr>
            <w:r>
              <w:rPr>
                <w:lang w:eastAsia="ru-RU"/>
              </w:rPr>
              <w:t>Плата за жилое помещение:</w:t>
            </w:r>
          </w:p>
        </w:tc>
      </w:tr>
      <w:tr>
        <w:trPr>
          <w:trHeight w:val="20" w:hRule="atLeast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suppressAutoHyphens w:val="false"/>
              <w:rPr>
                <w:lang w:eastAsia="ru-RU"/>
              </w:rPr>
            </w:pPr>
            <w:r>
              <w:rPr>
                <w:lang w:eastAsia="ru-RU"/>
              </w:rPr>
              <w:t>- плата за содержание жилого помещения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lang w:eastAsia="ru-RU"/>
              </w:rPr>
            </w:pPr>
            <w:r>
              <w:rPr>
                <w:lang w:eastAsia="ru-RU"/>
              </w:rPr>
              <w:t>%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>100,0</w:t>
            </w:r>
          </w:p>
        </w:tc>
        <w:tc>
          <w:tcPr>
            <w:tcW w:w="18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>104</w:t>
            </w:r>
          </w:p>
        </w:tc>
        <w:tc>
          <w:tcPr>
            <w:tcW w:w="18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>105,7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>104,0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>104,0</w:t>
            </w:r>
          </w:p>
        </w:tc>
      </w:tr>
      <w:tr>
        <w:trPr>
          <w:trHeight w:val="20" w:hRule="atLeast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suppressAutoHyphens w:val="false"/>
              <w:rPr>
                <w:lang w:eastAsia="ru-RU"/>
              </w:rPr>
            </w:pPr>
            <w:r>
              <w:rPr>
                <w:lang w:eastAsia="ru-RU"/>
              </w:rPr>
              <w:t>- плата за пользование жилым помещением (плата за наем)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lang w:eastAsia="ru-RU"/>
              </w:rPr>
            </w:pPr>
            <w:r>
              <w:rPr>
                <w:lang w:eastAsia="ru-RU"/>
              </w:rPr>
              <w:t>%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>105,9</w:t>
            </w:r>
          </w:p>
        </w:tc>
        <w:tc>
          <w:tcPr>
            <w:tcW w:w="18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>103,7</w:t>
            </w:r>
          </w:p>
        </w:tc>
        <w:tc>
          <w:tcPr>
            <w:tcW w:w="18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>105,9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>104,0</w:t>
            </w:r>
          </w:p>
        </w:tc>
        <w:tc>
          <w:tcPr>
            <w:tcW w:w="18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>104,0</w:t>
            </w:r>
          </w:p>
        </w:tc>
      </w:tr>
      <w:tr>
        <w:trPr>
          <w:trHeight w:val="20" w:hRule="atLeast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suppressAutoHyphens w:val="false"/>
              <w:rPr>
                <w:lang w:eastAsia="ru-RU"/>
              </w:rPr>
            </w:pPr>
            <w:r>
              <w:rPr>
                <w:lang w:eastAsia="ru-RU"/>
              </w:rPr>
              <w:t>- взносы на капитальный ремонт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lang w:eastAsia="ru-RU"/>
              </w:rPr>
            </w:pPr>
            <w:r>
              <w:rPr>
                <w:lang w:eastAsia="ru-RU"/>
              </w:rPr>
              <w:t>%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>115,0</w:t>
            </w:r>
          </w:p>
        </w:tc>
        <w:tc>
          <w:tcPr>
            <w:tcW w:w="18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>115</w:t>
            </w:r>
          </w:p>
        </w:tc>
        <w:tc>
          <w:tcPr>
            <w:tcW w:w="18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>115,0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>104,0</w:t>
            </w:r>
          </w:p>
        </w:tc>
        <w:tc>
          <w:tcPr>
            <w:tcW w:w="18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>104,0</w:t>
            </w:r>
          </w:p>
        </w:tc>
      </w:tr>
      <w:tr>
        <w:trPr>
          <w:trHeight w:val="20" w:hRule="atLeast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suppressAutoHyphens w:val="false"/>
              <w:rPr>
                <w:lang w:eastAsia="ru-RU"/>
              </w:rPr>
            </w:pPr>
            <w:r>
              <w:rPr>
                <w:lang w:eastAsia="ru-RU"/>
              </w:rPr>
              <w:t xml:space="preserve">Коммунальные услуги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lang w:eastAsia="ru-RU"/>
              </w:rPr>
            </w:pPr>
            <w:r>
              <w:rPr>
                <w:lang w:eastAsia="ru-RU"/>
              </w:rPr>
              <w:t>%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>114,8</w:t>
            </w:r>
          </w:p>
        </w:tc>
        <w:tc>
          <w:tcPr>
            <w:tcW w:w="18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 xml:space="preserve">с 1 января           101,7       </w:t>
              <w:br/>
              <w:t xml:space="preserve"> с 1 октября 113,0</w:t>
            </w:r>
          </w:p>
        </w:tc>
        <w:tc>
          <w:tcPr>
            <w:tcW w:w="18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>108,7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>107,1</w:t>
            </w:r>
          </w:p>
        </w:tc>
        <w:tc>
          <w:tcPr>
            <w:tcW w:w="18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>106,1</w:t>
            </w:r>
          </w:p>
        </w:tc>
      </w:tr>
      <w:tr>
        <w:trPr>
          <w:trHeight w:val="20" w:hRule="atLeast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suppressAutoHyphens w:val="false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Инфляция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%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b/>
                <w:bCs/>
                <w:color w:val="000000"/>
                <w:lang w:eastAsia="ru-RU"/>
              </w:rPr>
            </w:pPr>
            <w:r>
              <w:rPr>
                <w:color w:val="000000"/>
              </w:rPr>
              <w:t>105,6</w:t>
            </w:r>
          </w:p>
        </w:tc>
        <w:tc>
          <w:tcPr>
            <w:tcW w:w="18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b/>
                <w:bCs/>
                <w:color w:val="000000"/>
                <w:lang w:eastAsia="ru-RU"/>
              </w:rPr>
            </w:pPr>
            <w:r>
              <w:rPr>
                <w:color w:val="000000"/>
              </w:rPr>
              <w:t>105,2</w:t>
            </w:r>
          </w:p>
        </w:tc>
        <w:tc>
          <w:tcPr>
            <w:tcW w:w="18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b/>
                <w:bCs/>
                <w:color w:val="000000"/>
                <w:lang w:eastAsia="ru-RU"/>
              </w:rPr>
            </w:pPr>
            <w:r>
              <w:rPr>
                <w:color w:val="000000"/>
              </w:rPr>
              <w:t>104,0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b/>
                <w:bCs/>
                <w:color w:val="000000"/>
                <w:lang w:eastAsia="ru-RU"/>
              </w:rPr>
            </w:pPr>
            <w:r>
              <w:rPr>
                <w:color w:val="000000"/>
              </w:rPr>
              <w:t>104,0</w:t>
            </w:r>
          </w:p>
        </w:tc>
        <w:tc>
          <w:tcPr>
            <w:tcW w:w="18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right"/>
              <w:rPr>
                <w:b/>
                <w:bCs/>
                <w:color w:val="000000"/>
                <w:lang w:eastAsia="ru-RU"/>
              </w:rPr>
            </w:pPr>
            <w:r>
              <w:rPr>
                <w:color w:val="000000"/>
              </w:rPr>
              <w:t>104,0</w:t>
            </w:r>
          </w:p>
        </w:tc>
      </w:tr>
    </w:tbl>
    <w:p>
      <w:pPr>
        <w:pStyle w:val="Normal"/>
        <w:ind w:firstLine="709"/>
        <w:jc w:val="both"/>
        <w:rPr/>
      </w:pPr>
      <w:r>
        <w:rPr/>
        <w:t>Индексы являются предварительными и не учитывают особенности тарифного регулирования в Калужской области.</w:t>
        <w:tab/>
      </w:r>
    </w:p>
    <w:p>
      <w:pPr>
        <w:pStyle w:val="Normal"/>
        <w:ind w:firstLine="709"/>
        <w:jc w:val="both"/>
        <w:rPr/>
      </w:pPr>
      <w:r>
        <w:rPr/>
        <w:t>* Рост тарифа на тепловую энергию определен на уровне индексации совокупного платежа граждан за коммунальные услуги.</w:t>
      </w:r>
    </w:p>
    <w:p>
      <w:pPr>
        <w:pStyle w:val="Normal"/>
        <w:ind w:firstLine="709"/>
        <w:jc w:val="both"/>
        <w:rPr/>
      </w:pPr>
      <w:r>
        <w:rPr/>
        <w:t>Прогноз составлен с использованием следующих материалов:</w:t>
        <w:tab/>
      </w:r>
    </w:p>
    <w:p>
      <w:pPr>
        <w:pStyle w:val="Normal"/>
        <w:ind w:firstLine="709"/>
        <w:jc w:val="both"/>
        <w:rPr/>
      </w:pPr>
      <w:r>
        <w:rPr/>
        <w:t>- Сценарные условия функционирования экономики Российской Федерации и основные параметры прогноза социально-экономического развития Российской Федерации на 2027 год и на плановый период 2028 и 2029 годов;</w:t>
      </w:r>
    </w:p>
    <w:p>
      <w:pPr>
        <w:pStyle w:val="Normal"/>
        <w:ind w:firstLine="709"/>
        <w:jc w:val="both"/>
        <w:rPr/>
      </w:pPr>
      <w:r>
        <w:rPr/>
        <w:t>-  Постановление Губернатора Калужской области от 13.12.2024 № 678 «Об установлении предельных (максимальных) индексов изменения размера вносимой гражданами платы за коммунальные услуги в муниципальных образованиях Калужской области на период с 01 января 2025 года по 2028 год»;</w:t>
      </w:r>
    </w:p>
    <w:p>
      <w:pPr>
        <w:pStyle w:val="Normal"/>
        <w:ind w:firstLine="709"/>
        <w:jc w:val="both"/>
        <w:rPr/>
      </w:pPr>
      <w:r>
        <w:rPr/>
        <w:t>- Постановление Губернатора Калужской области от 15.12.2025 № 708 «Об установлении предельных (максимальных) индексов изменения размера вносимой гражданами платы за коммунальные услуги в муниципальных образованиях Калужской области на период с 01 января 2026 года по 2028 год».</w:t>
      </w:r>
    </w:p>
    <w:sectPr>
      <w:headerReference w:type="even" r:id="rId2"/>
      <w:headerReference w:type="default" r:id="rId3"/>
      <w:headerReference w:type="first" r:id="rId4"/>
      <w:type w:val="nextPage"/>
      <w:pgSz w:orient="landscape" w:w="16838" w:h="11906"/>
      <w:pgMar w:left="1134" w:right="1134" w:gutter="0" w:header="567" w:top="1701" w:footer="0" w:bottom="709"/>
      <w:pgNumType w:start="1"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Calibri Light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772274822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0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36027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zh-CN" w:val="ru-RU" w:bidi="ar-SA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d36027"/>
    <w:pPr>
      <w:keepNext w:val="true"/>
      <w:keepLines/>
      <w:suppressAutoHyphens w:val="false"/>
      <w:spacing w:lineRule="auto" w:line="259"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d36027"/>
    <w:pPr>
      <w:keepNext w:val="true"/>
      <w:keepLines/>
      <w:suppressAutoHyphens w:val="false"/>
      <w:spacing w:lineRule="auto" w:line="259"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d36027"/>
    <w:pPr>
      <w:keepNext w:val="true"/>
      <w:keepLines/>
      <w:suppressAutoHyphens w:val="false"/>
      <w:spacing w:lineRule="auto" w:line="259" w:before="160" w:after="80"/>
      <w:outlineLvl w:val="2"/>
    </w:pPr>
    <w:rPr>
      <w:rFonts w:ascii="Calibri" w:hAnsi="Calibri" w:eastAsia="" w:cs="" w:asciiTheme="minorHAnsi" w:cstheme="majorBidi" w:eastAsiaTheme="majorEastAsia" w:hAnsiTheme="minorHAnsi"/>
      <w:color w:themeColor="accent1" w:themeShade="bf" w:val="2F5496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d36027"/>
    <w:pPr>
      <w:keepNext w:val="true"/>
      <w:keepLines/>
      <w:suppressAutoHyphens w:val="false"/>
      <w:spacing w:lineRule="auto" w:line="259" w:before="80" w:after="40"/>
      <w:outlineLvl w:val="3"/>
    </w:pPr>
    <w:rPr>
      <w:rFonts w:ascii="Calibri" w:hAnsi="Calibri" w:eastAsia="" w:cs="" w:asciiTheme="minorHAnsi" w:cstheme="majorBidi" w:eastAsiaTheme="majorEastAsia" w:hAnsiTheme="minorHAnsi"/>
      <w:i/>
      <w:iCs/>
      <w:color w:themeColor="accent1" w:themeShade="bf" w:val="2F5496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d36027"/>
    <w:pPr>
      <w:keepNext w:val="true"/>
      <w:keepLines/>
      <w:suppressAutoHyphens w:val="false"/>
      <w:spacing w:lineRule="auto" w:line="259" w:before="80" w:after="40"/>
      <w:outlineLvl w:val="4"/>
    </w:pPr>
    <w:rPr>
      <w:rFonts w:ascii="Calibri" w:hAnsi="Calibri" w:eastAsia="" w:cs="" w:asciiTheme="minorHAnsi" w:cstheme="majorBidi" w:eastAsiaTheme="majorEastAsia" w:hAnsiTheme="minorHAnsi"/>
      <w:color w:themeColor="accent1" w:themeShade="bf" w:val="2F5496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d36027"/>
    <w:pPr>
      <w:keepNext w:val="true"/>
      <w:keepLines/>
      <w:suppressAutoHyphens w:val="false"/>
      <w:spacing w:lineRule="auto" w:line="259" w:before="40" w:after="0"/>
      <w:outlineLvl w:val="5"/>
    </w:pPr>
    <w:rPr>
      <w:rFonts w:ascii="Calibri" w:hAnsi="Calibri" w:eastAsia="" w:cs="" w:asciiTheme="minorHAnsi" w:cstheme="majorBidi" w:eastAsiaTheme="majorEastAsia" w:hAnsiTheme="minorHAnsi"/>
      <w:i/>
      <w:iCs/>
      <w:color w:themeColor="text1" w:themeTint="a6" w:val="595959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d36027"/>
    <w:pPr>
      <w:keepNext w:val="true"/>
      <w:keepLines/>
      <w:suppressAutoHyphens w:val="false"/>
      <w:spacing w:lineRule="auto" w:line="259" w:before="40" w:after="0"/>
      <w:outlineLvl w:val="6"/>
    </w:pPr>
    <w:rPr>
      <w:rFonts w:ascii="Calibri" w:hAnsi="Calibri" w:eastAsia="" w:cs="" w:asciiTheme="minorHAnsi" w:cstheme="majorBidi" w:eastAsiaTheme="majorEastAsia" w:hAnsiTheme="minorHAnsi"/>
      <w:color w:themeColor="text1" w:themeTint="a6" w:val="595959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d36027"/>
    <w:pPr>
      <w:keepNext w:val="true"/>
      <w:keepLines/>
      <w:suppressAutoHyphens w:val="false"/>
      <w:spacing w:lineRule="auto" w:line="259"/>
      <w:outlineLvl w:val="7"/>
    </w:pPr>
    <w:rPr>
      <w:rFonts w:ascii="Calibri" w:hAnsi="Calibri" w:eastAsia="" w:cs="" w:asciiTheme="minorHAnsi" w:cstheme="majorBidi" w:eastAsiaTheme="majorEastAsia" w:hAnsiTheme="minorHAnsi"/>
      <w:i/>
      <w:iCs/>
      <w:color w:themeColor="text1" w:themeTint="d8" w:val="272727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d36027"/>
    <w:pPr>
      <w:keepNext w:val="true"/>
      <w:keepLines/>
      <w:suppressAutoHyphens w:val="false"/>
      <w:spacing w:lineRule="auto" w:line="259"/>
      <w:outlineLvl w:val="8"/>
    </w:pPr>
    <w:rPr>
      <w:rFonts w:ascii="Calibri" w:hAnsi="Calibri" w:eastAsia="" w:cs="" w:asciiTheme="minorHAnsi" w:cstheme="majorBidi" w:eastAsiaTheme="majorEastAsia" w:hAnsiTheme="minorHAnsi"/>
      <w:color w:themeColor="text1" w:themeTint="d8" w:val="272727"/>
      <w:kern w:val="2"/>
      <w:sz w:val="22"/>
      <w:szCs w:val="22"/>
      <w:lang w:eastAsia="en-US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d36027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semiHidden/>
    <w:qFormat/>
    <w:rsid w:val="00d36027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3" w:customStyle="1">
    <w:name w:val="Заголовок 3 Знак"/>
    <w:basedOn w:val="DefaultParagraphFont"/>
    <w:uiPriority w:val="9"/>
    <w:semiHidden/>
    <w:qFormat/>
    <w:rsid w:val="00d36027"/>
    <w:rPr>
      <w:rFonts w:eastAsia="" w:cs="" w:cstheme="majorBidi" w:eastAsiaTheme="majorEastAsia"/>
      <w:color w:themeColor="accent1" w:themeShade="bf" w:val="2F5496"/>
      <w:sz w:val="28"/>
      <w:szCs w:val="28"/>
    </w:rPr>
  </w:style>
  <w:style w:type="character" w:styleId="4" w:customStyle="1">
    <w:name w:val="Заголовок 4 Знак"/>
    <w:basedOn w:val="DefaultParagraphFont"/>
    <w:uiPriority w:val="9"/>
    <w:semiHidden/>
    <w:qFormat/>
    <w:rsid w:val="00d36027"/>
    <w:rPr>
      <w:rFonts w:eastAsia="" w:cs="" w:cstheme="majorBidi" w:eastAsiaTheme="majorEastAsia"/>
      <w:i/>
      <w:iCs/>
      <w:color w:themeColor="accent1" w:themeShade="bf" w:val="2F5496"/>
    </w:rPr>
  </w:style>
  <w:style w:type="character" w:styleId="5" w:customStyle="1">
    <w:name w:val="Заголовок 5 Знак"/>
    <w:basedOn w:val="DefaultParagraphFont"/>
    <w:uiPriority w:val="9"/>
    <w:semiHidden/>
    <w:qFormat/>
    <w:rsid w:val="00d36027"/>
    <w:rPr>
      <w:rFonts w:eastAsia="" w:cs="" w:cstheme="majorBidi" w:eastAsiaTheme="majorEastAsia"/>
      <w:color w:themeColor="accent1" w:themeShade="bf" w:val="2F5496"/>
    </w:rPr>
  </w:style>
  <w:style w:type="character" w:styleId="6" w:customStyle="1">
    <w:name w:val="Заголовок 6 Знак"/>
    <w:basedOn w:val="DefaultParagraphFont"/>
    <w:uiPriority w:val="9"/>
    <w:semiHidden/>
    <w:qFormat/>
    <w:rsid w:val="00d36027"/>
    <w:rPr>
      <w:rFonts w:eastAsia="" w:cs="" w:cstheme="majorBidi" w:eastAsiaTheme="majorEastAsia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uiPriority w:val="9"/>
    <w:semiHidden/>
    <w:qFormat/>
    <w:rsid w:val="00d36027"/>
    <w:rPr>
      <w:rFonts w:eastAsia="" w:cs="" w:cstheme="majorBidi" w:eastAsiaTheme="majorEastAsia"/>
      <w:color w:themeColor="text1" w:themeTint="a6" w:val="595959"/>
    </w:rPr>
  </w:style>
  <w:style w:type="character" w:styleId="8" w:customStyle="1">
    <w:name w:val="Заголовок 8 Знак"/>
    <w:basedOn w:val="DefaultParagraphFont"/>
    <w:uiPriority w:val="9"/>
    <w:semiHidden/>
    <w:qFormat/>
    <w:rsid w:val="00d36027"/>
    <w:rPr>
      <w:rFonts w:eastAsia="" w:cs="" w:cstheme="majorBidi" w:eastAsiaTheme="majorEastAsia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uiPriority w:val="9"/>
    <w:semiHidden/>
    <w:qFormat/>
    <w:rsid w:val="00d36027"/>
    <w:rPr>
      <w:rFonts w:eastAsia="" w:cs="" w:cstheme="majorBidi" w:eastAsiaTheme="majorEastAsia"/>
      <w:color w:themeColor="text1" w:themeTint="d8" w:val="272727"/>
    </w:rPr>
  </w:style>
  <w:style w:type="character" w:styleId="Style5" w:customStyle="1">
    <w:name w:val="Заголовок Знак"/>
    <w:basedOn w:val="DefaultParagraphFont"/>
    <w:uiPriority w:val="10"/>
    <w:qFormat/>
    <w:rsid w:val="00d36027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tyle6" w:customStyle="1">
    <w:name w:val="Подзаголовок Знак"/>
    <w:basedOn w:val="DefaultParagraphFont"/>
    <w:uiPriority w:val="11"/>
    <w:qFormat/>
    <w:rsid w:val="00d36027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21" w:customStyle="1">
    <w:name w:val="Цитата 2 Знак"/>
    <w:basedOn w:val="DefaultParagraphFont"/>
    <w:link w:val="Quote"/>
    <w:uiPriority w:val="29"/>
    <w:qFormat/>
    <w:rsid w:val="00d36027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d36027"/>
    <w:rPr>
      <w:i/>
      <w:iCs/>
      <w:color w:themeColor="accent1" w:themeShade="bf" w:val="2F5496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sid w:val="00d36027"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uiPriority w:val="32"/>
    <w:qFormat/>
    <w:rsid w:val="00d36027"/>
    <w:rPr>
      <w:b/>
      <w:bCs/>
      <w:smallCaps/>
      <w:color w:themeColor="accent1" w:themeShade="bf" w:val="2F5496"/>
      <w:spacing w:val="5"/>
    </w:rPr>
  </w:style>
  <w:style w:type="character" w:styleId="Style8" w:customStyle="1">
    <w:name w:val="Основной текст с отступом Знак"/>
    <w:basedOn w:val="DefaultParagraphFont"/>
    <w:qFormat/>
    <w:rsid w:val="00d36027"/>
    <w:rPr>
      <w:rFonts w:ascii="Times New Roman" w:hAnsi="Times New Roman" w:eastAsia="Times New Roman" w:cs="Times New Roman"/>
      <w:kern w:val="0"/>
      <w:sz w:val="20"/>
      <w:szCs w:val="20"/>
      <w:lang w:eastAsia="zh-CN"/>
      <w14:ligatures w14:val="none"/>
    </w:rPr>
  </w:style>
  <w:style w:type="character" w:styleId="Style9" w:customStyle="1">
    <w:name w:val="Верхний колонтитул Знак"/>
    <w:basedOn w:val="DefaultParagraphFont"/>
    <w:uiPriority w:val="99"/>
    <w:qFormat/>
    <w:rsid w:val="00dd7c31"/>
    <w:rPr>
      <w:rFonts w:ascii="Times New Roman" w:hAnsi="Times New Roman" w:eastAsia="Times New Roman" w:cs="Times New Roman"/>
      <w:kern w:val="0"/>
      <w:sz w:val="24"/>
      <w:szCs w:val="24"/>
      <w:lang w:eastAsia="zh-CN"/>
      <w14:ligatures w14:val="none"/>
    </w:rPr>
  </w:style>
  <w:style w:type="character" w:styleId="Style10" w:customStyle="1">
    <w:name w:val="Нижний колонтитул Знак"/>
    <w:basedOn w:val="DefaultParagraphFont"/>
    <w:uiPriority w:val="99"/>
    <w:qFormat/>
    <w:rsid w:val="00dd7c31"/>
    <w:rPr>
      <w:rFonts w:ascii="Times New Roman" w:hAnsi="Times New Roman" w:eastAsia="Times New Roman" w:cs="Times New Roman"/>
      <w:kern w:val="0"/>
      <w:sz w:val="24"/>
      <w:szCs w:val="24"/>
      <w:lang w:eastAsia="zh-CN"/>
      <w14:ligatures w14:val="none"/>
    </w:rPr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link w:val="Style5"/>
    <w:uiPriority w:val="10"/>
    <w:qFormat/>
    <w:rsid w:val="00d36027"/>
    <w:pPr>
      <w:suppressAutoHyphens w:val="false"/>
      <w:spacing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  <w:lang w:eastAsia="en-US"/>
      <w14:ligatures w14:val="standardContextual"/>
    </w:rPr>
  </w:style>
  <w:style w:type="paragraph" w:styleId="Subtitle">
    <w:name w:val="Subtitle"/>
    <w:basedOn w:val="Normal"/>
    <w:next w:val="Normal"/>
    <w:link w:val="Style6"/>
    <w:uiPriority w:val="11"/>
    <w:qFormat/>
    <w:rsid w:val="00d36027"/>
    <w:pPr>
      <w:suppressAutoHyphens w:val="false"/>
      <w:spacing w:lineRule="auto" w:line="259" w:before="0" w:after="160"/>
    </w:pPr>
    <w:rPr>
      <w:rFonts w:ascii="Calibri" w:hAnsi="Calibri" w:eastAsia="" w:cs="" w:asciiTheme="minorHAnsi" w:cstheme="majorBidi" w:eastAsiaTheme="majorEastAsia" w:hAnsiTheme="minorHAnsi"/>
      <w:color w:themeColor="text1" w:themeTint="a6" w:val="595959"/>
      <w:spacing w:val="15"/>
      <w:kern w:val="2"/>
      <w:sz w:val="28"/>
      <w:szCs w:val="28"/>
      <w:lang w:eastAsia="en-US"/>
      <w14:ligatures w14:val="standardContextual"/>
    </w:rPr>
  </w:style>
  <w:style w:type="paragraph" w:styleId="Quote">
    <w:name w:val="Quote"/>
    <w:basedOn w:val="Normal"/>
    <w:next w:val="Normal"/>
    <w:link w:val="21"/>
    <w:uiPriority w:val="29"/>
    <w:qFormat/>
    <w:rsid w:val="00d36027"/>
    <w:pPr>
      <w:suppressAutoHyphens w:val="false"/>
      <w:spacing w:lineRule="auto" w:line="259" w:before="160" w:after="160"/>
      <w:jc w:val="center"/>
    </w:pPr>
    <w:rPr>
      <w:rFonts w:ascii="Calibri" w:hAnsi="Calibri" w:eastAsia="Calibri" w:cs="" w:asciiTheme="minorHAnsi" w:cstheme="minorBidi" w:eastAsiaTheme="minorHAnsi" w:hAnsiTheme="minorHAnsi"/>
      <w:i/>
      <w:iCs/>
      <w:color w:themeColor="text1" w:themeTint="bf" w:val="404040"/>
      <w:kern w:val="2"/>
      <w:sz w:val="22"/>
      <w:szCs w:val="22"/>
      <w:lang w:eastAsia="en-US"/>
      <w14:ligatures w14:val="standardContextual"/>
    </w:rPr>
  </w:style>
  <w:style w:type="paragraph" w:styleId="ListParagraph">
    <w:name w:val="List Paragraph"/>
    <w:basedOn w:val="Normal"/>
    <w:uiPriority w:val="34"/>
    <w:qFormat/>
    <w:rsid w:val="00d36027"/>
    <w:pPr>
      <w:suppressAutoHyphens w:val="false"/>
      <w:spacing w:lineRule="auto" w:line="259" w:before="0" w:after="160"/>
      <w:ind w:left="720"/>
      <w:contextualSpacing/>
    </w:pPr>
    <w:rPr>
      <w:rFonts w:ascii="Calibri" w:hAnsi="Calibri" w:eastAsia="Calibri" w:cs="" w:asciiTheme="minorHAnsi" w:cstheme="minorBidi" w:eastAsiaTheme="minorHAnsi" w:hAnsiTheme="minorHAnsi"/>
      <w:kern w:val="2"/>
      <w:sz w:val="22"/>
      <w:szCs w:val="22"/>
      <w:lang w:eastAsia="en-US"/>
      <w14:ligatures w14:val="standardContextual"/>
    </w:rPr>
  </w:style>
  <w:style w:type="paragraph" w:styleId="IntenseQuote">
    <w:name w:val="Intense Quote"/>
    <w:basedOn w:val="Normal"/>
    <w:next w:val="Normal"/>
    <w:link w:val="Style7"/>
    <w:uiPriority w:val="30"/>
    <w:qFormat/>
    <w:rsid w:val="00d360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false"/>
      <w:spacing w:lineRule="auto" w:line="259" w:before="360" w:after="360"/>
      <w:ind w:left="864" w:right="864"/>
      <w:jc w:val="center"/>
    </w:pPr>
    <w:rPr>
      <w:rFonts w:ascii="Calibri" w:hAnsi="Calibri" w:eastAsia="Calibri" w:cs="" w:asciiTheme="minorHAnsi" w:cstheme="minorBidi" w:eastAsiaTheme="minorHAnsi" w:hAnsiTheme="minorHAnsi"/>
      <w:i/>
      <w:iCs/>
      <w:color w:themeColor="accent1" w:themeShade="bf" w:val="2F5496"/>
      <w:kern w:val="2"/>
      <w:sz w:val="22"/>
      <w:szCs w:val="22"/>
      <w:lang w:eastAsia="en-US"/>
      <w14:ligatures w14:val="standardContextual"/>
    </w:rPr>
  </w:style>
  <w:style w:type="paragraph" w:styleId="BodyTextIndent">
    <w:name w:val="Body Text Indent"/>
    <w:basedOn w:val="Normal"/>
    <w:link w:val="Style8"/>
    <w:rsid w:val="00d36027"/>
    <w:pPr>
      <w:widowControl w:val="false"/>
      <w:ind w:firstLine="300"/>
    </w:pPr>
    <w:rPr>
      <w:sz w:val="20"/>
      <w:szCs w:val="20"/>
    </w:rPr>
  </w:style>
  <w:style w:type="paragraph" w:styleId="211" w:customStyle="1">
    <w:name w:val="Основной текст с отступом 21"/>
    <w:basedOn w:val="Normal"/>
    <w:qFormat/>
    <w:rsid w:val="00d36027"/>
    <w:pPr>
      <w:spacing w:lineRule="auto" w:line="480" w:before="0" w:after="120"/>
      <w:ind w:left="283"/>
    </w:pPr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9"/>
    <w:uiPriority w:val="99"/>
    <w:unhideWhenUsed/>
    <w:rsid w:val="00dd7c31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0"/>
    <w:uiPriority w:val="99"/>
    <w:unhideWhenUsed/>
    <w:rsid w:val="00dd7c31"/>
    <w:pPr>
      <w:tabs>
        <w:tab w:val="clear" w:pos="708"/>
        <w:tab w:val="center" w:pos="4677" w:leader="none"/>
        <w:tab w:val="right" w:pos="9355" w:leader="none"/>
      </w:tabs>
    </w:pPr>
    <w:rPr/>
  </w:style>
  <w:style w:type="numbering" w:styleId="Style13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Application>LibreOffice/24.2.7.2$Windows_X86_64 LibreOffice_project/ee3885777aa7032db5a9b65deec9457448a91162</Application>
  <AppVersion>15.0000</AppVersion>
  <Pages>3</Pages>
  <Words>633</Words>
  <Characters>3365</Characters>
  <CharactersWithSpaces>3880</CharactersWithSpaces>
  <Paragraphs>198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2025-09-25T05:53:00Z</dcterms:created>
  <dc:creator>Плакида Ирина Анатольевна</dc:creator>
  <dc:description/>
  <dc:language>ru-RU</dc:language>
  <cp:lastModifiedBy/>
  <dcterms:modified xsi:type="dcterms:W3CDTF">2026-09-22T14:20:36Z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