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color w:themeColor="text1" w:val="000000"/>
          <w:sz w:val="28"/>
          <w14:textFill>
            <w14:solidFill>
              <w14:schemeClr w14:val="tx1"/>
            </w14:solidFill>
          </w14:textFill>
        </w:rPr>
      </w:pPr>
      <w:r>
        <w:rPr/>
        <mc:AlternateContent>
          <mc:Choice Requires="wps">
            <w:drawing>
              <wp:anchor behindDoc="0" distT="4445" distB="0" distL="0" distR="1905" simplePos="0" locked="0" layoutInCell="1" allowOverlap="1" relativeHeight="3">
                <wp:simplePos x="0" y="0"/>
                <wp:positionH relativeFrom="column">
                  <wp:posOffset>5212080</wp:posOffset>
                </wp:positionH>
                <wp:positionV relativeFrom="paragraph">
                  <wp:posOffset>100330</wp:posOffset>
                </wp:positionV>
                <wp:extent cx="1230630" cy="342900"/>
                <wp:effectExtent l="0" t="0" r="0" b="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5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410.4pt;margin-top:7.9pt;width:96.85pt;height:26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5"/>
                        <w:spacing w:before="0" w:after="0"/>
                        <w:ind w:hanging="0" w:left="0" w:right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/>
                          <w:i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53390" cy="540385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themeColor="text1" w:val="000000"/>
          <w:sz w:val="28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8"/>
          <w14:textFill>
            <w14:solidFill>
              <w14:schemeClr w14:val="tx1"/>
            </w14:solidFill>
          </w14:textFill>
        </w:rPr>
        <w:t>Российская Федерация</w:t>
      </w:r>
    </w:p>
    <w:p>
      <w:pPr>
        <w:pStyle w:val="ConsPlusNonformat"/>
        <w:jc w:val="center"/>
        <w:rPr>
          <w:rFonts w:ascii="Times New Roman" w:hAnsi="Times New Roman" w:cs="Times New Roman"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36"/>
          <w:szCs w:val="36"/>
          <w14:textFill>
            <w14:solidFill>
              <w14:schemeClr w14:val="tx1"/>
            </w14:solidFill>
          </w14:textFill>
        </w:rPr>
        <w:t xml:space="preserve">Дума городского округа города Калуги </w:t>
      </w:r>
    </w:p>
    <w:p>
      <w:pPr>
        <w:pStyle w:val="ConsPlusNonformat"/>
        <w:jc w:val="center"/>
        <w:rPr>
          <w:rFonts w:ascii="Times New Roman" w:hAnsi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60"/>
          <w14:textFill>
            <w14:solidFill>
              <w14:schemeClr w14:val="tx1"/>
            </w14:solidFill>
          </w14:textFill>
        </w:rPr>
        <w:t>РЕШЕНИЕ</w:t>
      </w:r>
    </w:p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  <w:t>от ____________                                                                                                         № ____</w:t>
      </w:r>
    </w:p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textAlignment w:val="auto"/>
        <w:rPr>
          <w:b/>
          <w:color w:themeColor="text1" w:val="000000"/>
          <w14:textFill>
            <w14:solidFill>
              <w14:schemeClr w14:val="tx1"/>
            </w14:solidFill>
          </w14:textFill>
        </w:rPr>
      </w:pPr>
      <w:bookmarkStart w:id="0" w:name="_Hlk207703246"/>
      <w:bookmarkStart w:id="1" w:name="_Hlk181264523"/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 xml:space="preserve">Об утверждении изменений в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textAlignment w:val="auto"/>
        <w:rPr>
          <w:b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 xml:space="preserve">постановление </w:t>
      </w:r>
      <w:bookmarkStart w:id="2" w:name="_Hlk207789382"/>
      <w:bookmarkEnd w:id="2"/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 xml:space="preserve">Городской Думы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textAlignment w:val="auto"/>
        <w:rPr>
          <w:b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>городского округа «Город Калуга»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textAlignment w:val="auto"/>
        <w:rPr>
          <w:b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>от 29.11.2006 № 168 «Об управлении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textAlignment w:val="auto"/>
        <w:rPr>
          <w:b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 xml:space="preserve">записи актов гражданского состояния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textAlignment w:val="auto"/>
        <w:rPr>
          <w:b/>
          <w:color w:themeColor="text1" w:val="000000"/>
          <w14:textFill>
            <w14:solidFill>
              <w14:schemeClr w14:val="tx1"/>
            </w14:solidFill>
          </w14:textFill>
        </w:rPr>
      </w:pPr>
      <w:bookmarkStart w:id="3" w:name="_Hlk207703246"/>
      <w:bookmarkStart w:id="4" w:name="_Hlk181264523"/>
      <w:r>
        <w:rPr>
          <w:b/>
          <w:color w:themeColor="text1" w:val="000000"/>
          <w14:textFill>
            <w14:solidFill>
              <w14:schemeClr w14:val="tx1"/>
            </w14:solidFill>
          </w14:textFill>
        </w:rPr>
        <w:t>города Калуги»</w:t>
      </w:r>
      <w:bookmarkStart w:id="5" w:name="_Hlk207789382"/>
      <w:bookmarkEnd w:id="3"/>
      <w:bookmarkEnd w:id="4"/>
      <w:bookmarkEnd w:id="5"/>
    </w:p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r>
    </w:p>
    <w:p>
      <w:pPr>
        <w:pStyle w:val="ConsPlusNonformat"/>
        <w:jc w:val="both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t xml:space="preserve">В соответствии </w:t>
      </w:r>
      <w:bookmarkStart w:id="6" w:name="_Hlk207789664"/>
      <w:r>
        <w:rPr>
          <w:color w:themeColor="text1" w:val="000000"/>
          <w14:textFill>
            <w14:solidFill>
              <w14:schemeClr w14:val="tx1"/>
            </w14:solidFill>
          </w14:textFill>
        </w:rPr>
        <w:t>со ст</w:t>
      </w:r>
      <w:r>
        <w:rPr>
          <w:color w:themeColor="text1" w:val="000000"/>
          <w:lang w:val="ru-RU"/>
          <w14:textFill>
            <w14:solidFill>
              <w14:schemeClr w14:val="tx1"/>
            </w14:solidFill>
          </w14:textFill>
        </w:rPr>
        <w:t>атьей</w:t>
      </w:r>
      <w:r>
        <w:rPr>
          <w:color w:themeColor="text1" w:val="000000"/>
          <w14:textFill>
            <w14:solidFill>
              <w14:schemeClr w14:val="tx1"/>
            </w14:solidFill>
          </w14:textFill>
        </w:rPr>
        <w:t xml:space="preserve"> 22 Устава городского округа города Калуги</w:t>
      </w:r>
      <w:r>
        <w:rPr>
          <w:color w:themeColor="text1" w:val="000000"/>
          <w:lang w:val="en-US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themeColor="text1" w:val="000000"/>
          <w14:textFill>
            <w14:solidFill>
              <w14:schemeClr w14:val="tx1"/>
            </w14:solidFill>
          </w14:textFill>
        </w:rPr>
        <w:t xml:space="preserve"> Калужской области</w:t>
      </w:r>
      <w:bookmarkEnd w:id="6"/>
      <w:r>
        <w:rPr>
          <w:color w:themeColor="text1" w:val="00000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Normal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rFonts w:ascii="Times New Roman" w:hAnsi="Times New Roman"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РЕШИЛА:</w:t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ind w:firstLine="709"/>
        <w:jc w:val="both"/>
        <w:textAlignment w:val="auto"/>
        <w:rPr>
          <w:rFonts w:ascii="Times New Roman" w:hAnsi="Times New Roman" w:cs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suppressAutoHyphens w:val="true"/>
        <w:overflowPunct w:val="false"/>
        <w:bidi w:val="0"/>
        <w:snapToGrid w:val="true"/>
        <w:spacing w:lineRule="auto" w:line="240"/>
        <w:ind w:firstLine="709" w:left="0"/>
        <w:jc w:val="both"/>
        <w:textAlignment w:val="auto"/>
        <w:rPr>
          <w:bCs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Утвердить изменения в постановление Городской Думы городского округа «Город Калуга» от 29.11.2006 № 168 «</w:t>
      </w:r>
      <w:bookmarkStart w:id="7" w:name="_Hlk207790033"/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Об управлении записи актов гражданского состояния города Калуги</w:t>
      </w:r>
      <w:bookmarkEnd w:id="7"/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» (далее – постановление):</w:t>
      </w:r>
    </w:p>
    <w:p>
      <w:pPr>
        <w:pStyle w:val="Normal"/>
        <w:keepNext w:val="false"/>
        <w:keepLines w:val="false"/>
        <w:pageBreakBefore w:val="false"/>
        <w:numPr>
          <w:ilvl w:val="1"/>
          <w:numId w:val="1"/>
        </w:numPr>
        <w:suppressAutoHyphens w:val="true"/>
        <w:overflowPunct w:val="false"/>
        <w:bidi w:val="0"/>
        <w:snapToGrid w:val="true"/>
        <w:spacing w:lineRule="auto" w:line="240"/>
        <w:ind w:firstLine="709" w:left="0"/>
        <w:jc w:val="both"/>
        <w:textAlignment w:val="auto"/>
        <w:rPr>
          <w:bCs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 xml:space="preserve">Преамбулу постановления изложить в новой редакции: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/>
        <w:ind w:firstLine="720" w:left="0"/>
        <w:jc w:val="both"/>
        <w:textAlignment w:val="auto"/>
        <w:rPr>
          <w:bCs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«В соответствии со статьей 36 Устава городского округа города Калуги Калужской области».</w:t>
      </w:r>
    </w:p>
    <w:p>
      <w:pPr>
        <w:pStyle w:val="Normal"/>
        <w:keepNext w:val="false"/>
        <w:keepLines w:val="false"/>
        <w:pageBreakBefore w:val="false"/>
        <w:numPr>
          <w:ilvl w:val="1"/>
          <w:numId w:val="1"/>
        </w:numPr>
        <w:suppressAutoHyphens w:val="true"/>
        <w:overflowPunct w:val="false"/>
        <w:bidi w:val="0"/>
        <w:snapToGrid w:val="true"/>
        <w:spacing w:lineRule="auto" w:line="240"/>
        <w:ind w:firstLine="709" w:left="0"/>
        <w:jc w:val="both"/>
        <w:textAlignment w:val="auto"/>
        <w:rPr>
          <w:bCs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Пункт 3 постановления признать утратившим силу.</w:t>
      </w:r>
    </w:p>
    <w:p>
      <w:pPr>
        <w:pStyle w:val="ListParagraph"/>
        <w:keepNext w:val="false"/>
        <w:keepLines w:val="false"/>
        <w:pageBreakBefore w:val="false"/>
        <w:numPr>
          <w:ilvl w:val="0"/>
          <w:numId w:val="1"/>
        </w:numPr>
        <w:suppressAutoHyphens w:val="true"/>
        <w:overflowPunct w:val="false"/>
        <w:bidi w:val="0"/>
        <w:snapToGrid w:val="true"/>
        <w:spacing w:lineRule="auto" w:line="240"/>
        <w:ind w:firstLine="709" w:left="0"/>
        <w:jc w:val="both"/>
        <w:textAlignment w:val="auto"/>
        <w:rPr>
          <w:bCs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Утвердить изменения в положение об управлении записи актов гражданского состояния города Калуги (далее – положение)</w:t>
      </w:r>
      <w:r>
        <w:rPr>
          <w:bCs/>
          <w:color w:themeColor="text1" w:val="000000"/>
          <w:lang w:val="ru-RU"/>
          <w14:textFill>
            <w14:solidFill>
              <w14:schemeClr w14:val="tx1"/>
            </w14:solidFill>
          </w14:textFill>
        </w:rPr>
        <w:t>, являющееся</w:t>
      </w: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 xml:space="preserve"> приложени</w:t>
      </w:r>
      <w:r>
        <w:rPr>
          <w:bCs/>
          <w:color w:themeColor="text1" w:val="000000"/>
          <w:lang w:val="ru-RU"/>
          <w14:textFill>
            <w14:solidFill>
              <w14:schemeClr w14:val="tx1"/>
            </w14:solidFill>
          </w14:textFill>
        </w:rPr>
        <w:t>ем</w:t>
      </w: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 xml:space="preserve"> к постановлению: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>
          <w:sz w:val="26"/>
          <w:szCs w:val="26"/>
        </w:rPr>
      </w:pPr>
      <w:r>
        <w:rPr/>
        <w:t xml:space="preserve">2.1. </w:t>
      </w:r>
      <w:bookmarkStart w:id="8" w:name="_Hlk207813655"/>
      <w:r>
        <w:rPr/>
        <w:t xml:space="preserve">В подпункте 1.1 пункта 1 слова «Городской Управы города Калуги» заменить словами </w:t>
      </w:r>
      <w:r>
        <w:rPr>
          <w:sz w:val="26"/>
          <w:szCs w:val="26"/>
        </w:rPr>
        <w:t>«</w:t>
      </w:r>
      <w:r>
        <w:rPr>
          <w:color w:themeColor="text1" w:val="000000"/>
          <w14:textFill>
            <w14:solidFill>
              <w14:schemeClr w14:val="tx1"/>
            </w14:solidFill>
          </w14:textFill>
        </w:rPr>
        <w:t>администрации городского округа города Калуги</w:t>
      </w:r>
      <w:r>
        <w:rPr>
          <w:sz w:val="26"/>
          <w:szCs w:val="26"/>
        </w:rPr>
        <w:t>»</w:t>
      </w:r>
      <w:bookmarkEnd w:id="8"/>
      <w:r>
        <w:rPr>
          <w:sz w:val="26"/>
          <w:szCs w:val="26"/>
        </w:rPr>
        <w:t>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2.2. Подпункт 1.2 пункта 1 изложить в новой редакции: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 xml:space="preserve">«1.2. Управление в своей деятельности подотчетно главе </w:t>
      </w:r>
      <w:bookmarkStart w:id="9" w:name="_Hlk207813982"/>
      <w:r>
        <w:rPr/>
        <w:t xml:space="preserve">городского округа города </w:t>
      </w:r>
      <w:bookmarkEnd w:id="9"/>
      <w:r>
        <w:rPr/>
        <w:t>Калуги, заместителю главы городского округа города Калуги».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2.3. Подпункт 1.5 пункта 1 изложить в новой редакции: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«1.5. 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актами, Уставом Калужской области, законами Калужской области, постановлениями и распоряжениями Губернатора Калужской области, постановлениями Правительства Калужской области, иными правовыми актами Калужской области, Уставом городского округа города Калуги Калужской области и иными муниципальными правовыми актами, настоящим Положением».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>
          <w:sz w:val="26"/>
          <w:szCs w:val="26"/>
        </w:rPr>
      </w:pPr>
      <w:bookmarkStart w:id="10" w:name="_Hlk207813867"/>
      <w:r>
        <w:rPr/>
        <w:t xml:space="preserve">2.4. В дефисе 13 подпункта 2.2 пункта 2 </w:t>
      </w:r>
      <w:bookmarkEnd w:id="10"/>
      <w:r>
        <w:rPr/>
        <w:t xml:space="preserve">слова «правовым актом Городской Управы города Калуги» заменить словами </w:t>
      </w:r>
      <w:r>
        <w:rPr>
          <w:sz w:val="26"/>
          <w:szCs w:val="26"/>
        </w:rPr>
        <w:t>«</w:t>
      </w:r>
      <w:r>
        <w:rPr>
          <w:color w:themeColor="text1" w:val="000000"/>
          <w14:textFill>
            <w14:solidFill>
              <w14:schemeClr w14:val="tx1"/>
            </w14:solidFill>
          </w14:textFill>
        </w:rPr>
        <w:t>муниципальным правовым актом</w:t>
      </w:r>
      <w:r>
        <w:rPr>
          <w:sz w:val="26"/>
          <w:szCs w:val="26"/>
        </w:rPr>
        <w:t>».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2.5. В подпункте 2.2 пункта 2 дефис 19 исключить.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8" w:left="0"/>
        <w:contextualSpacing w:val="false"/>
        <w:jc w:val="both"/>
        <w:textAlignment w:val="auto"/>
        <w:rPr/>
      </w:pPr>
      <w:r>
        <w:rPr/>
        <w:t>2.6. В подпункте 4.1 пункта 4 слова «Городским Головой города Калуги» заменить словами «главой городского округа города Калуги».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2.7. В подпункте 4.2 пункта 4 дефис 5 признать утратившим силу.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2.8. Подпункт 4.2 пункта 4</w:t>
      </w:r>
      <w:r>
        <w:rPr>
          <w:lang w:val="ru-RU"/>
        </w:rPr>
        <w:t xml:space="preserve"> </w:t>
      </w:r>
      <w:r>
        <w:rPr/>
        <w:t xml:space="preserve">дополнить дефисом </w:t>
      </w:r>
      <w:bookmarkStart w:id="11" w:name="_GoBack"/>
      <w:bookmarkEnd w:id="11"/>
      <w:r>
        <w:rPr/>
        <w:t>следующе</w:t>
      </w:r>
      <w:r>
        <w:rPr>
          <w:lang w:val="ru-RU"/>
        </w:rPr>
        <w:t>го содержания</w:t>
      </w:r>
      <w:r>
        <w:rPr/>
        <w:t>: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 xml:space="preserve">«- </w:t>
      </w:r>
      <w:r>
        <w:rPr>
          <w:bCs/>
          <w:lang w:eastAsia="ru-RU"/>
        </w:rPr>
        <w:t xml:space="preserve"> утверждает паспорт набора открытых данных в рамках полномочий управления</w:t>
      </w:r>
      <w:r>
        <w:rPr/>
        <w:t>».</w:t>
      </w:r>
    </w:p>
    <w:p>
      <w:pPr>
        <w:pStyle w:val="11"/>
        <w:keepNext w:val="false"/>
        <w:keepLines w:val="false"/>
        <w:pageBreakBefore w:val="false"/>
        <w:overflowPunct w:val="false"/>
        <w:bidi w:val="0"/>
        <w:snapToGrid w:val="true"/>
        <w:spacing w:lineRule="auto" w:line="240" w:before="0" w:after="0"/>
        <w:ind w:firstLine="709" w:left="0"/>
        <w:contextualSpacing w:val="false"/>
        <w:jc w:val="both"/>
        <w:textAlignment w:val="auto"/>
        <w:rPr/>
      </w:pPr>
      <w:r>
        <w:rPr/>
        <w:t>2.9. В подпункте 4.3 пункта 4 слова «распоряжением Городской Управы города Калуги» заменить словами «муниципальным правовым актом».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suppressAutoHyphens w:val="true"/>
        <w:overflowPunct w:val="false"/>
        <w:bidi w:val="0"/>
        <w:snapToGrid w:val="true"/>
        <w:spacing w:lineRule="auto" w:line="240"/>
        <w:ind w:firstLine="709" w:left="0"/>
        <w:jc w:val="both"/>
        <w:textAlignment w:val="auto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Настоящее постановление вступает в силу после его официального обнародования.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suppressAutoHyphens w:val="true"/>
        <w:overflowPunct w:val="false"/>
        <w:bidi w:val="0"/>
        <w:snapToGrid w:val="true"/>
        <w:spacing w:lineRule="auto" w:line="240"/>
        <w:ind w:firstLine="709" w:left="0"/>
        <w:jc w:val="both"/>
        <w:textAlignment w:val="auto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 xml:space="preserve">Контроль за исполнением настоящего решения возложить на комитет </w:t>
      </w:r>
      <w:bookmarkStart w:id="12" w:name="_Hlk207790981"/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 xml:space="preserve">Думы городского округа города Калуги </w:t>
      </w:r>
      <w:bookmarkEnd w:id="12"/>
      <w:r>
        <w:rPr>
          <w:bCs/>
          <w:color w:themeColor="text1" w:val="000000"/>
          <w14:textFill>
            <w14:solidFill>
              <w14:schemeClr w14:val="tx1"/>
            </w14:solidFill>
          </w14:textFill>
        </w:rPr>
        <w:t>по правовому обеспечению местного самоуправления.</w:t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jc w:val="both"/>
        <w:textAlignment w:val="auto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jc w:val="both"/>
        <w:textAlignment w:val="auto"/>
        <w:rPr>
          <w:rFonts w:ascii="Times New Roman" w:hAnsi="Times New Roman" w:cs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  <w14:textFill>
            <w14:solidFill>
              <w14:schemeClr w14:val="tx1"/>
            </w14:solidFill>
          </w14:textFill>
        </w:rPr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jc w:val="both"/>
        <w:textAlignment w:val="auto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Временно исполняющий полномочия</w:t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jc w:val="both"/>
        <w:textAlignment w:val="auto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главы городского округа города Калуги</w:t>
      </w:r>
    </w:p>
    <w:p>
      <w:pPr>
        <w:pStyle w:val="ConsPlusNonformat"/>
        <w:keepNext w:val="false"/>
        <w:keepLines w:val="false"/>
        <w:pageBreakBefore w:val="false"/>
        <w:overflowPunct w:val="false"/>
        <w:bidi w:val="0"/>
        <w:snapToGrid w:val="true"/>
        <w:spacing w:lineRule="auto" w:line="240"/>
        <w:jc w:val="both"/>
        <w:textAlignment w:val="auto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  <w:t>Калужской области                                                                                                   Д.А. Денисов</w:t>
      </w:r>
    </w:p>
    <w:p>
      <w:pPr>
        <w:pStyle w:val="Normal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677" w:gutter="0" w:header="720" w:top="1134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  <w:rFonts w:eastAsia="等线 Light" w:eastAsiaTheme="majorEastAsia"/>
                            </w:rPr>
                          </w:pPr>
                          <w:r>
                            <w:rPr>
                              <w:rStyle w:val="PageNumber"/>
                              <w:rFonts w:eastAsia="等线 Light"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等线 Light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等线 Light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等线 Light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等线 Light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  <w:rFonts w:eastAsia="等线 Light" w:eastAsiaTheme="majorEastAsia"/>
                      </w:rPr>
                    </w:pPr>
                    <w:r>
                      <w:rPr>
                        <w:rStyle w:val="PageNumber"/>
                        <w:rFonts w:eastAsia="等线 Light" w:eastAsiaTheme="majorEastAsia"/>
                      </w:rPr>
                      <w:fldChar w:fldCharType="begin"/>
                    </w:r>
                    <w:r>
                      <w:rPr>
                        <w:rStyle w:val="PageNumber"/>
                        <w:rFonts w:eastAsia="等线 Light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等线 Light"/>
                      </w:rPr>
                      <w:fldChar w:fldCharType="separate"/>
                    </w:r>
                    <w:r>
                      <w:rPr>
                        <w:rStyle w:val="PageNumber"/>
                        <w:rFonts w:eastAsia="等线 Light"/>
                      </w:rPr>
                      <w:t>0</w:t>
                    </w:r>
                    <w:r>
                      <w:rPr>
                        <w:rStyle w:val="PageNumber"/>
                        <w:rFonts w:eastAsia="等线 Ligh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  <w:rFonts w:eastAsia="等线 Light" w:eastAsiaTheme="major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等线 Light" w:eastAsiaTheme="majorEastAsia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75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  <w:rFonts w:eastAsia="等线 Light" w:eastAsiaTheme="majorEastAsia"/>
                        <w:sz w:val="20"/>
                        <w:szCs w:val="20"/>
                      </w:rPr>
                    </w:pPr>
                    <w:r>
                      <w:rPr>
                        <w:rFonts w:eastAsia="等线 Light" w:eastAsiaTheme="majorEastAsia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  <w:rFonts w:eastAsia="等线 Light" w:eastAsiaTheme="major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等线 Light" w:eastAsiaTheme="majorEastAsia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75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  <w:rFonts w:eastAsia="等线 Light" w:eastAsiaTheme="majorEastAsia"/>
                        <w:sz w:val="20"/>
                        <w:szCs w:val="20"/>
                      </w:rPr>
                    </w:pPr>
                    <w:r>
                      <w:rPr>
                        <w:rFonts w:eastAsia="等线 Light" w:eastAsiaTheme="majorEastAsia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1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597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597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597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 w:val="true"/>
      <w:keepLines/>
      <w:outlineLvl w:val="7"/>
    </w:pPr>
    <w:rPr>
      <w:rFonts w:eastAsia="等线 Light" w:cs="" w:cstheme="majorBidi" w:eastAsiaTheme="majorEastAsia"/>
      <w:i/>
      <w:iCs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 w:val="true"/>
      <w:keepLines/>
      <w:outlineLvl w:val="8"/>
    </w:pPr>
    <w:rPr>
      <w:rFonts w:eastAsia="等线 Light" w:cs="" w:cstheme="majorBidi" w:eastAsiaTheme="majorEastAsia"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597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2F5597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accent1" w:themeShade="bf" w:val="2F5597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2F5597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Style5" w:customStyle="1">
    <w:name w:val="Заголовок Знак"/>
    <w:basedOn w:val="DefaultParagraphFont"/>
    <w:uiPriority w:val="10"/>
    <w:qFormat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rFonts w:eastAsia="等线 Light" w:cs="" w:cstheme="majorBidi" w:eastAsiaTheme="majorEastAsia"/>
      <w:color w:themeColor="text1" w:themeTint="a6" w:val="595959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themeColor="accent1" w:themeShade="bf" w:val="2F5597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2F5597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themeColor="accent1" w:themeShade="bf" w:val="2F5597"/>
      <w:spacing w:val="5"/>
    </w:rPr>
  </w:style>
  <w:style w:type="character" w:styleId="Style8" w:customStyle="1">
    <w:name w:val="Верхний колонтитул Знак"/>
    <w:basedOn w:val="DefaultParagraphFont"/>
    <w:uiPriority w:val="0"/>
    <w:qFormat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9" w:customStyle="1">
    <w:name w:val="Основной текст Знак"/>
    <w:basedOn w:val="DefaultParagraphFont"/>
    <w:uiPriority w:val="0"/>
    <w:qFormat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kern w:val="0"/>
      <w:sz w:val="16"/>
      <w:szCs w:val="16"/>
      <w:lang w:eastAsia="ru-RU"/>
      <w14:ligatures w14:val="non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0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Footer">
    <w:name w:val="Footer"/>
    <w:basedOn w:val="Normal"/>
    <w:link w:val="Style10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tyle6"/>
    <w:uiPriority w:val="11"/>
    <w:qFormat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597"/>
    </w:rPr>
  </w:style>
  <w:style w:type="paragraph" w:styleId="ConsPlusNonformat" w:customStyle="1">
    <w:name w:val="ConsPlusNonformat"/>
    <w:uiPriority w:val="0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ConsPlusNormal" w:customStyle="1">
    <w:name w:val="ConsPlusNormal"/>
    <w:uiPriority w:val="0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ConsPlusTitle" w:customStyle="1">
    <w:name w:val="ConsPlusTitle"/>
    <w:uiPriority w:val="0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11" w:customStyle="1">
    <w:name w:val="Абзац списка1"/>
    <w:basedOn w:val="Normal"/>
    <w:uiPriority w:val="0"/>
    <w:qFormat/>
    <w:pPr>
      <w:suppressAutoHyphens w:val="true"/>
      <w:spacing w:before="0" w:after="160"/>
      <w:ind w:left="720"/>
      <w:contextualSpacing/>
    </w:pPr>
    <w:rPr>
      <w:lang w:eastAsia="zh-CN"/>
    </w:rPr>
  </w:style>
  <w:style w:type="paragraph" w:styleId="Style14">
    <w:name w:val="Содержимое врезки"/>
    <w:basedOn w:val="Normal"/>
    <w:qFormat/>
    <w:pPr/>
    <w:rPr/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2E37C4-AB15-494B-9076-54225336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LibreOffice/24.2.7.2$Windows_X86_64 LibreOffice_project/ee3885777aa7032db5a9b65deec9457448a91162</Application>
  <AppVersion>15.0000</AppVersion>
  <Pages>2</Pages>
  <Words>370</Words>
  <Characters>2545</Characters>
  <CharactersWithSpaces>3092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2025-09-04T08:25:00Z</dcterms:created>
  <dc:creator>Акимова Наталья Николаевна</dc:creator>
  <dc:description/>
  <dc:language>ru-RU</dc:language>
  <cp:lastModifiedBy/>
  <cp:lastPrinted>2025-09-09T08:09:00Z</cp:lastPrinted>
  <dcterms:modified xsi:type="dcterms:W3CDTF">2025-09-09T08:09:10Z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88A2F69B4455424DAB3FDA7BFF551A12_13</vt:lpwstr>
  </property>
  <property fmtid="{D5CDD505-2E9C-101B-9397-08002B2CF9AE}" pid="3" name="KSOProductBuildVer">
    <vt:lpwstr>1049-12.2.0.21179</vt:lpwstr>
  </property>
</Properties>
</file>