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3"/>
        <w:pBdr/>
        <w:spacing w:after="120"/>
        <w:ind/>
        <w:jc w:val="center"/>
        <w:rPr/>
      </w:pPr>
      <w:r>
        <w:rPr>
          <w:rFonts w:eastAsia="Calibri"/>
          <w:b/>
          <w:caps/>
          <w:spacing w:val="40"/>
        </w:rPr>
        <w:t xml:space="preserve">АКТ № </w:t>
      </w:r>
      <w:r>
        <w:rPr>
          <w:rFonts w:eastAsia="Calibri"/>
          <w:b/>
          <w:caps/>
          <w:spacing w:val="40"/>
        </w:rPr>
        <w:t xml:space="preserve">67</w:t>
      </w:r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плановой проверки муниципального бюджетного образовательного учреждения дополнительного образования </w:t>
      </w:r>
      <w:r>
        <w:rPr>
          <w:b/>
          <w:bCs/>
        </w:rPr>
        <w:t xml:space="preserve">«Детская школа искусств № 4» г. Калуги</w:t>
      </w:r>
      <w:r>
        <w:rPr>
          <w:b/>
          <w:bCs/>
        </w:rPr>
        <w:t xml:space="preserve"> 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pStyle w:val="843"/>
        <w:pBdr/>
        <w:spacing/>
        <w:ind/>
        <w:jc w:val="center"/>
        <w:rPr/>
      </w:pPr>
      <w:r/>
      <w:r/>
    </w:p>
    <w:p>
      <w:pPr>
        <w:pStyle w:val="843"/>
        <w:pBdr/>
        <w:spacing/>
        <w:ind/>
        <w:jc w:val="center"/>
        <w:rPr/>
      </w:pPr>
      <w:r>
        <w:rPr>
          <w:b/>
          <w:bCs/>
        </w:rPr>
        <w:t xml:space="preserve">г. Калуга</w:t>
        <w:tab/>
        <w:tab/>
        <w:tab/>
        <w:tab/>
        <w:tab/>
        <w:tab/>
        <w:t xml:space="preserve">      </w:t>
        <w:tab/>
        <w:tab/>
        <w:t xml:space="preserve">                 «       </w:t>
      </w:r>
      <w:r>
        <w:rPr>
          <w:b/>
          <w:bCs/>
        </w:rPr>
        <w:t xml:space="preserve">» </w:t>
      </w:r>
      <w:r>
        <w:rPr>
          <w:b/>
          <w:bCs/>
        </w:rPr>
        <w:t xml:space="preserve">апреля</w:t>
      </w:r>
      <w:r>
        <w:rPr>
          <w:b/>
          <w:bCs/>
        </w:rPr>
        <w:t xml:space="preserve"> 202</w:t>
      </w:r>
      <w:r>
        <w:rPr>
          <w:b/>
          <w:bCs/>
        </w:rPr>
        <w:t xml:space="preserve">5</w:t>
      </w:r>
      <w:r>
        <w:rPr>
          <w:b/>
          <w:bCs/>
        </w:rPr>
        <w:t xml:space="preserve"> г</w:t>
      </w:r>
      <w:r>
        <w:rPr>
          <w:b/>
          <w:bCs/>
        </w:rPr>
        <w:t xml:space="preserve">ода</w:t>
      </w:r>
      <w:r/>
    </w:p>
    <w:p>
      <w:pPr>
        <w:pStyle w:val="843"/>
        <w:pBdr/>
        <w:spacing/>
        <w:ind/>
        <w:rPr/>
      </w:pPr>
      <w:r/>
      <w:r/>
    </w:p>
    <w:p>
      <w:pPr>
        <w:pStyle w:val="843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100 Федерального закона от 05.04.2013 № 44-ФЗ «О контрактной системе в сфере закупок товаров, услуг для обеспечения федеральных и мун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ведомственного контроля за соблюдением законодательства Российской Фед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постановлением Городской Управы города Калуги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.12.2024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2775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-пи «Об утверждении плана осуществления ведомственного контроля управлением культуры города Калуги в отношении подведомственных ему муниципальных учреждений на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год», проведена проверка соблюдения законодательства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№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г.Калуги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Проверка).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проведена коми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сией, утверждённой приказом управления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в сфере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акупок товаров, раб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</w:t>
        <w:br/>
        <w:t xml:space="preserve">№ 133, от 12.10.2023 № 75, от 13.02.2024 № 9) в составе: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69"/>
        <w:gridCol w:w="405"/>
        <w:gridCol w:w="6796"/>
      </w:tblGrid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Бубич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 (руководитель комиссии);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6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Наталия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5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796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управления культуры города Калуги.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3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Проверяемый период: с 01.0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31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начала проверки: 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04.202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проверки: 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 проверки: плановая.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проверки: выездная.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hd w:val="clear" w:color="auto" w:fill="ffffff"/>
        <w:spacing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 проверки: выборочный.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pBdr/>
        <w:spacing/>
        <w:ind w:firstLine="708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Субъект проверки: муниципальное бюджетное образовательное учреждение дополнительного образования «Детская школа искусств № 4» г.Калуги (далее – Учреждение), ИНН 4027022055, КПП 402701001.</w:t>
      </w:r>
      <w:r/>
    </w:p>
    <w:p>
      <w:pPr>
        <w:pStyle w:val="843"/>
        <w:pBdr/>
        <w:spacing/>
        <w:ind w:firstLine="708"/>
        <w:jc w:val="both"/>
        <w:rPr/>
      </w:pPr>
      <w:r>
        <w:t xml:space="preserve">Адрес местонахождения субъекта проверки: ул. Вишневского, дом 2а, г. Калуга, 248007.</w:t>
      </w:r>
      <w:r/>
    </w:p>
    <w:p>
      <w:pPr>
        <w:pBdr/>
        <w:spacing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 были изучены: </w:t>
      </w: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firstLine="709"/>
        <w:jc w:val="both"/>
        <w:rPr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pBdr/>
        <w:spacing/>
        <w:ind w:firstLine="709"/>
        <w:jc w:val="both"/>
        <w:rPr/>
      </w:pPr>
      <w:r>
        <w:t xml:space="preserve">- должностные обязанности специалистов Учреждения;</w:t>
      </w:r>
      <w:r/>
    </w:p>
    <w:p>
      <w:pPr>
        <w:pBdr/>
        <w:spacing/>
        <w:ind w:firstLine="709"/>
        <w:jc w:val="both"/>
        <w:rPr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pBdr/>
        <w:spacing/>
        <w:ind w:firstLine="709"/>
        <w:jc w:val="both"/>
        <w:rPr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pBdr/>
        <w:spacing/>
        <w:ind w:firstLine="709"/>
        <w:jc w:val="both"/>
        <w:rPr/>
      </w:pPr>
      <w:r>
        <w:t xml:space="preserve">- реестр закупок; </w:t>
      </w:r>
      <w:r/>
    </w:p>
    <w:p>
      <w:pPr>
        <w:pBdr/>
        <w:spacing/>
        <w:ind w:firstLine="709"/>
        <w:jc w:val="both"/>
        <w:rPr/>
      </w:pPr>
      <w:r>
        <w:t xml:space="preserve">- планы–графики на 202</w:t>
      </w:r>
      <w:r>
        <w:t xml:space="preserve">3</w:t>
      </w:r>
      <w:r>
        <w:t xml:space="preserve"> и 202</w:t>
      </w:r>
      <w:r>
        <w:t xml:space="preserve">4</w:t>
      </w:r>
      <w:r>
        <w:t xml:space="preserve"> годы;</w:t>
      </w:r>
      <w:r/>
    </w:p>
    <w:p>
      <w:pPr>
        <w:pBdr/>
        <w:spacing/>
        <w:ind w:firstLine="709"/>
        <w:jc w:val="both"/>
        <w:rPr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pBdr/>
        <w:spacing/>
        <w:ind w:firstLine="709"/>
        <w:jc w:val="both"/>
        <w:rPr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pBdr/>
        <w:spacing/>
        <w:ind w:firstLine="709"/>
        <w:jc w:val="both"/>
        <w:rPr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widowControl w:val="false"/>
        <w:pBdr/>
        <w:spacing/>
        <w:ind w:firstLine="709"/>
        <w:jc w:val="both"/>
        <w:rPr>
          <w:iCs/>
          <w:highlight w:val="white"/>
        </w:rPr>
      </w:pPr>
      <w:r>
        <w:rPr>
          <w:iCs/>
          <w:highlight w:val="white"/>
        </w:rPr>
      </w:r>
      <w:r>
        <w:rPr>
          <w:iCs/>
          <w:highlight w:val="white"/>
        </w:rPr>
      </w:r>
      <w:r>
        <w:rPr>
          <w:iCs/>
          <w:highlight w:val="white"/>
        </w:rPr>
      </w:r>
    </w:p>
    <w:p>
      <w:pPr>
        <w:pBdr/>
        <w:spacing/>
        <w:ind/>
        <w:jc w:val="both"/>
        <w:rPr/>
      </w:pPr>
      <w:r>
        <w:rPr>
          <w:b/>
          <w:color w:val="000000"/>
        </w:rPr>
        <w:t xml:space="preserve">В ходе проверки</w:t>
      </w:r>
      <w:r/>
    </w:p>
    <w:p>
      <w:pPr>
        <w:widowControl w:val="false"/>
        <w:pBdr/>
        <w:spacing/>
        <w:ind w:firstLine="709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>
        <w:rPr>
          <w:b/>
          <w:bCs/>
          <w:iCs/>
          <w:color w:val="000000"/>
        </w:rPr>
      </w:r>
      <w:r>
        <w:rPr>
          <w:b/>
          <w:bCs/>
          <w:iCs/>
          <w:color w:val="000000"/>
        </w:rPr>
      </w:r>
    </w:p>
    <w:p>
      <w:pPr>
        <w:pStyle w:val="843"/>
        <w:widowControl w:val="false"/>
        <w:pBdr/>
        <w:spacing/>
        <w:ind w:firstLine="709"/>
        <w:jc w:val="both"/>
        <w:rPr/>
      </w:pPr>
      <w:r>
        <w:rPr>
          <w:iCs/>
          <w:highlight w:val="white"/>
        </w:rPr>
        <w:t xml:space="preserve">П</w:t>
      </w:r>
      <w:r>
        <w:rPr>
          <w:iCs/>
          <w:highlight w:val="white"/>
        </w:rPr>
        <w:t xml:space="preserve">роверка Учреждения проведена </w:t>
      </w:r>
      <w:r>
        <w:rPr>
          <w:iCs/>
          <w:highlight w:val="white"/>
        </w:rPr>
        <w:t xml:space="preserve">в присутствии</w:t>
      </w:r>
      <w:r>
        <w:rPr>
          <w:iCs/>
          <w:highlight w:val="white"/>
        </w:rPr>
        <w:t xml:space="preserve"> заместител</w:t>
      </w:r>
      <w:r>
        <w:rPr>
          <w:iCs/>
          <w:highlight w:val="white"/>
        </w:rPr>
        <w:t xml:space="preserve">я</w:t>
      </w:r>
      <w:r>
        <w:rPr>
          <w:iCs/>
          <w:highlight w:val="white"/>
        </w:rPr>
        <w:t xml:space="preserve"> директора по административно-хозяйственной работе Диденко Натальи Анатольевны, с обязанностями контрактного управляющего Учреждения</w:t>
      </w:r>
      <w:r>
        <w:rPr>
          <w:iCs/>
          <w:highlight w:val="white"/>
        </w:rPr>
        <w:t xml:space="preserve"> (приказ Учреждения от 10.12.2013 № 66 «О назначении ответственного лица»)</w:t>
      </w:r>
      <w:r>
        <w:rPr>
          <w:iCs/>
          <w:highlight w:val="white"/>
        </w:rPr>
        <w:t xml:space="preserve">.   </w:t>
      </w:r>
      <w:r/>
    </w:p>
    <w:p>
      <w:pPr>
        <w:pStyle w:val="900"/>
        <w:pBdr/>
        <w:spacing/>
        <w:ind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Руководство Учреждением осуществляется директором – Рожковой Ниной Васильевной (распоряжение начальника управления культуры города Калуги о назначении на должность</w:t>
      </w:r>
      <w:r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</w:rPr>
        <w:t xml:space="preserve">06.09.20</w:t>
      </w:r>
      <w:r>
        <w:rPr>
          <w:rFonts w:ascii="Times New Roman" w:hAnsi="Times New Roman"/>
          <w:color w:val="000000"/>
          <w:sz w:val="24"/>
          <w:szCs w:val="24"/>
        </w:rPr>
        <w:t xml:space="preserve">24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196-14-р</w:t>
      </w:r>
      <w:r>
        <w:rPr>
          <w:rFonts w:ascii="Times New Roman" w:hAnsi="Times New Roman"/>
          <w:color w:val="000000"/>
          <w:sz w:val="24"/>
          <w:szCs w:val="24"/>
        </w:rPr>
        <w:t xml:space="preserve">).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Ответственные лица для размещения информации в единой информационной системе в сфере закупок товаров, работ, услуг (далее — ГИС ЕИС), с возложенными приказом </w:t>
      </w:r>
      <w:r>
        <w:rPr>
          <w:color w:val="000000"/>
        </w:rPr>
        <w:t xml:space="preserve">№ 31 от 13.06.2018</w:t>
      </w:r>
      <w:r>
        <w:t xml:space="preserve"> полномочиями: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Рожкова Нина Васильевна</w:t>
      </w:r>
      <w:r>
        <w:t xml:space="preserve"> – </w:t>
      </w:r>
      <w:r>
        <w:t xml:space="preserve">директор</w:t>
      </w:r>
      <w:r>
        <w:t xml:space="preserve"> Учреждения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документов, руководитель организации;</w:t>
      </w:r>
      <w:r/>
    </w:p>
    <w:p>
      <w:pPr>
        <w:pStyle w:val="843"/>
        <w:pBdr/>
        <w:spacing/>
        <w:ind w:firstLine="709"/>
        <w:jc w:val="both"/>
        <w:rPr/>
      </w:pPr>
      <w:r>
        <w:t xml:space="preserve">- </w:t>
      </w:r>
      <w:r>
        <w:rPr>
          <w:iCs/>
          <w:highlight w:val="white"/>
        </w:rPr>
        <w:t xml:space="preserve">Диденко Наталья Анатольевна – </w:t>
      </w:r>
      <w:r>
        <w:t xml:space="preserve">з</w:t>
      </w:r>
      <w:r>
        <w:rPr>
          <w:iCs/>
          <w:shd w:val="clear" w:color="auto" w:fill="ffffff"/>
        </w:rPr>
        <w:t xml:space="preserve">аместитель директора по административно-хозяйственной работе</w:t>
      </w:r>
      <w:r>
        <w:t xml:space="preserve"> с обязанностями контрактного управляющего с полномочиями: лицо, имеющее право подписи документов от имени организации, администратор организации, лицо, уполномоченное на размещение информации и документов.</w:t>
      </w:r>
      <w:r>
        <w:rPr>
          <w:iCs/>
          <w:highlight w:val="white"/>
        </w:rPr>
      </w:r>
      <w:r/>
    </w:p>
    <w:p>
      <w:pPr>
        <w:pStyle w:val="843"/>
        <w:pBdr/>
        <w:spacing/>
        <w:ind w:firstLine="709"/>
        <w:jc w:val="both"/>
        <w:rPr>
          <w:rFonts w:eastAsia="Calibri"/>
          <w:color w:val="000000"/>
          <w:highlight w:val="none"/>
          <w:lang w:eastAsia="en-US"/>
        </w:rPr>
      </w:pPr>
      <w:r>
        <w:rPr>
          <w:rFonts w:eastAsia="Calibri"/>
          <w:color w:val="000000"/>
          <w:lang w:eastAsia="en-US"/>
        </w:rPr>
        <w:t xml:space="preserve">Повышение квалификации в области закупочной деятельности: Диденко Наталья Анатольевна — с 26.05.</w:t>
      </w:r>
      <w:r>
        <w:rPr>
          <w:rFonts w:eastAsia="Calibri"/>
          <w:color w:val="000000"/>
          <w:lang w:eastAsia="en-US"/>
        </w:rPr>
        <w:t xml:space="preserve">2022 по 13.06.202</w:t>
      </w:r>
      <w:r>
        <w:rPr>
          <w:rFonts w:eastAsia="Calibri"/>
          <w:color w:val="000000"/>
          <w:lang w:eastAsia="en-US"/>
        </w:rPr>
        <w:t xml:space="preserve">2 в ЧУ ДПО «ИПК «Эксперт» в объеме 144 часов по программе «Контрактная система в сфере закупок товаров, работ, услуг для обеспечения государственных и муниципальных нужд». Регистрационный номер 22289 г.Нижний Новгород, дата выдачи Удостоверения 13.06.2022.</w:t>
      </w:r>
      <w:r>
        <w:rPr>
          <w:rFonts w:eastAsia="Calibri"/>
          <w:color w:val="000000"/>
          <w:highlight w:val="none"/>
          <w:lang w:eastAsia="en-US"/>
        </w:rPr>
      </w:r>
    </w:p>
    <w:p>
      <w:pPr>
        <w:pStyle w:val="843"/>
        <w:pBdr/>
        <w:spacing/>
        <w:ind w:firstLine="709"/>
        <w:jc w:val="both"/>
        <w:rPr>
          <w:rFonts w:eastAsia="Calibri"/>
          <w:color w:val="000000"/>
          <w:highlight w:val="none"/>
          <w:lang w:eastAsia="en-US"/>
        </w:rPr>
      </w:pPr>
      <w:r>
        <w:rPr>
          <w:rFonts w:eastAsia="Calibri"/>
          <w:color w:val="000000"/>
          <w:lang w:eastAsia="en-US"/>
        </w:rPr>
        <w:t xml:space="preserve">Повышение квалификации в области закупочной деятельности: </w:t>
      </w:r>
      <w:r>
        <w:t xml:space="preserve">Рожкова Нина Васильевна</w:t>
      </w:r>
      <w:r>
        <w:rPr>
          <w:rFonts w:eastAsia="Calibri"/>
          <w:color w:val="000000"/>
          <w:lang w:eastAsia="en-US"/>
        </w:rPr>
        <w:t xml:space="preserve"> — с 26.05.</w:t>
      </w:r>
      <w:r>
        <w:rPr>
          <w:rFonts w:eastAsia="Calibri"/>
          <w:color w:val="000000"/>
          <w:lang w:eastAsia="en-US"/>
        </w:rPr>
        <w:t xml:space="preserve">2022 по 30.05.2022 в ЧУ ДПО «ИПК «Эксперт» в объеме 144 часов по программе «Контрактная система в сфере закупок товаров, работ, услуг для обеспечения государственных и муниципальных нужд». </w:t>
      </w:r>
      <w:r>
        <w:rPr>
          <w:rFonts w:eastAsia="Calibri"/>
          <w:color w:val="000000"/>
          <w:lang w:eastAsia="en-US"/>
        </w:rPr>
        <w:t xml:space="preserve">Регистрационный номер 22285 г.Нижний Новгород, дата выдачи Удостоверения 30.05.2022.</w:t>
      </w:r>
      <w:r>
        <w:rPr>
          <w:rFonts w:eastAsia="Calibri"/>
          <w:color w:val="000000"/>
          <w:highlight w:val="none"/>
          <w:lang w:eastAsia="en-US"/>
        </w:rPr>
      </w:r>
      <w:r>
        <w:rPr>
          <w:rFonts w:eastAsia="Calibri"/>
          <w:color w:val="000000"/>
          <w:highlight w:val="none"/>
          <w:lang w:eastAsia="en-US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муниципальным бюджетным учреждением. Учредитель муниципальное образование «Город Калуга». Функции и полномочия учредителя осуществляет Городская Управа города Калуги. 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Основными целями и задачами деятельности Учреждения являются: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- образовательная деятельность по дополнительным общеобразовательным программам;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- формирование и развитие творческих способностей учащихся.</w:t>
      </w:r>
      <w:r>
        <w:rPr>
          <w:color w:val="000000"/>
        </w:rPr>
      </w:r>
      <w:r>
        <w:rPr>
          <w:color w:val="000000"/>
        </w:rPr>
      </w:r>
    </w:p>
    <w:p>
      <w:pPr>
        <w:pStyle w:val="843"/>
        <w:pBdr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color w:val="auto"/>
        </w:rPr>
      </w:r>
      <w:r>
        <w:rPr>
          <w:color w:val="auto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708"/>
        <w:jc w:val="both"/>
        <w:rPr>
          <w:color w:val="auto"/>
          <w:highlight w:val="none"/>
        </w:rPr>
      </w:pPr>
      <w:r>
        <w:rPr>
          <w:color w:val="auto"/>
        </w:rPr>
        <w:t xml:space="preserve">Учреждение </w:t>
      </w:r>
      <w:r>
        <w:rPr>
          <w:color w:val="auto"/>
        </w:rPr>
        <w:t xml:space="preserve">в 202</w:t>
      </w:r>
      <w:r>
        <w:rPr>
          <w:color w:val="auto"/>
        </w:rPr>
        <w:t xml:space="preserve">4</w:t>
      </w:r>
      <w:r>
        <w:rPr>
          <w:color w:val="auto"/>
        </w:rPr>
        <w:t xml:space="preserve"> и 202</w:t>
      </w:r>
      <w:r>
        <w:rPr>
          <w:color w:val="auto"/>
        </w:rPr>
        <w:t xml:space="preserve">5</w:t>
      </w:r>
      <w:r>
        <w:rPr>
          <w:color w:val="auto"/>
        </w:rPr>
        <w:t xml:space="preserve"> годах конкурентные процедуры не проводило. </w:t>
      </w:r>
      <w:r>
        <w:rPr>
          <w:color w:val="auto"/>
        </w:rPr>
      </w:r>
      <w:r>
        <w:rPr>
          <w:color w:val="auto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/>
        <w:jc w:val="both"/>
        <w:rPr>
          <w:color w:val="auto"/>
        </w:rP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</w:t>
      </w:r>
      <w:r>
        <w:rPr>
          <w:color w:val="auto"/>
        </w:rPr>
        <w:t xml:space="preserve">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auto"/>
        </w:rPr>
      </w:r>
      <w:r>
        <w:rPr>
          <w:color w:val="auto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</w:rPr>
      </w:pPr>
      <w:r>
        <w:rPr>
          <w:color w:val="auto"/>
        </w:rPr>
        <w:t xml:space="preserve">Отчеты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2023 и 2024 годы</w:t>
      </w:r>
      <w:r>
        <w:rPr>
          <w:color w:val="000000" w:themeColor="text1"/>
        </w:rPr>
        <w:t xml:space="preserve"> Учреждением </w:t>
      </w:r>
      <w:r>
        <w:rPr>
          <w:color w:val="000000" w:themeColor="text1"/>
        </w:rPr>
        <w:t xml:space="preserve">размещены в </w:t>
      </w:r>
      <w:r>
        <w:rPr>
          <w:color w:val="000000" w:themeColor="text1"/>
        </w:rPr>
        <w:t xml:space="preserve">ГИС ЕИС своевременно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/>
        <w:ind w:firstLine="708"/>
        <w:contextualSpacing w:val="true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Отчеты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3 и 2024</w:t>
      </w:r>
      <w:r>
        <w:rPr>
          <w:color w:val="000000" w:themeColor="text1"/>
        </w:rPr>
        <w:t xml:space="preserve"> годы Учреждением размещены в ГИС ЕИС своевременно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/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</w:t>
      </w:r>
      <w:r>
        <w:rPr>
          <w:color w:val="auto"/>
        </w:rPr>
        <w:t xml:space="preserve">утверждены </w:t>
      </w:r>
      <w:r>
        <w:rPr>
          <w:color w:val="auto"/>
        </w:rPr>
        <w:t xml:space="preserve">и размещены в ГИС ЕИС </w:t>
      </w:r>
      <w:r>
        <w:rPr>
          <w:color w:val="auto"/>
        </w:rPr>
        <w:t xml:space="preserve">с использованием усиленной электронной цифровой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си руководителя</w:t>
      </w:r>
      <w:r>
        <w:rPr>
          <w:color w:val="auto"/>
        </w:rPr>
        <w:t xml:space="preserve"> Учреждения в установленном порядке.</w:t>
      </w:r>
      <w:r>
        <w:rPr>
          <w:color w:val="auto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pBdr/>
        <w:spacing/>
        <w:ind w:firstLine="708" w:left="0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Первичные планы-графики закупо</w:t>
      </w:r>
      <w:r>
        <w:rPr>
          <w:color w:val="auto"/>
          <w:lang w:eastAsia="ru-RU"/>
        </w:rPr>
        <w:t xml:space="preserve">к товаров, работ, услуг для обеспечен</w:t>
      </w:r>
      <w:r>
        <w:rPr>
          <w:color w:val="auto"/>
          <w:lang w:eastAsia="ru-RU"/>
        </w:rPr>
        <w:t xml:space="preserve">ия нужд субъекта Российской Федерации и муниципальных нужд на 202</w:t>
      </w:r>
      <w:r>
        <w:rPr>
          <w:color w:val="auto"/>
          <w:lang w:eastAsia="ru-RU"/>
        </w:rPr>
        <w:t xml:space="preserve">4</w:t>
      </w:r>
      <w:r>
        <w:rPr>
          <w:color w:val="auto"/>
          <w:lang w:eastAsia="ru-RU"/>
        </w:rPr>
        <w:t xml:space="preserve"> и 2025 финансовые года базовой версии 0.0 размещены в ЕИС своевременно.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843"/>
        <w:pBdr/>
        <w:tabs>
          <w:tab w:val="left" w:leader="none" w:pos="709"/>
        </w:tabs>
        <w:spacing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 w:firstLine="708" w:left="0"/>
        <w:jc w:val="both"/>
        <w:rPr>
          <w:b/>
          <w:bCs/>
        </w:rPr>
      </w:pPr>
      <w:r>
        <w:rPr>
          <w:b/>
          <w:bCs/>
        </w:rPr>
        <w:t xml:space="preserve">Выводы:</w:t>
      </w: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0"/>
          <w:tab w:val="left" w:leader="none" w:pos="993"/>
        </w:tabs>
        <w:spacing/>
        <w:ind w:firstLine="709"/>
        <w:jc w:val="both"/>
        <w:rPr/>
      </w:pPr>
      <w:r>
        <w:t xml:space="preserve">1. Направить Акт проверки Учреждению.</w:t>
      </w:r>
      <w:r/>
    </w:p>
    <w:p>
      <w:pPr>
        <w:pBdr/>
        <w:tabs>
          <w:tab w:val="left" w:leader="none" w:pos="0"/>
        </w:tabs>
        <w:spacing/>
        <w:ind w:firstLine="709"/>
        <w:jc w:val="both"/>
        <w:rPr/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 закупки).</w:t>
      </w:r>
      <w:r/>
    </w:p>
    <w:p>
      <w:pPr>
        <w:pStyle w:val="899"/>
        <w:pBdr/>
        <w:spacing/>
        <w:ind w:firstLine="708" w:left="0"/>
        <w:jc w:val="both"/>
        <w:rPr/>
      </w:pPr>
      <w:r>
        <w:rPr>
          <w:bCs/>
          <w:highlight w:val="none"/>
        </w:rPr>
      </w:r>
      <w:r/>
    </w:p>
    <w:p>
      <w:pPr>
        <w:pStyle w:val="899"/>
        <w:pBdr/>
        <w:spacing/>
        <w:ind w:firstLine="708" w:left="0"/>
        <w:jc w:val="both"/>
        <w:rPr>
          <w:highlight w:val="none"/>
        </w:rPr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>
        <w:rPr>
          <w:highlight w:val="none"/>
        </w:rPr>
      </w:r>
      <w:r>
        <w:rPr>
          <w:highlight w:val="none"/>
        </w:rPr>
      </w:r>
    </w:p>
    <w:p>
      <w:pPr>
        <w:pStyle w:val="899"/>
        <w:pBdr/>
        <w:spacing/>
        <w:ind w:left="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14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Смирнов Г.В.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4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162" w:type="dxa"/>
            <w:vAlign w:val="top"/>
            <w:textDirection w:val="lrTb"/>
            <w:noWrap w:val="false"/>
          </w:tcPr>
          <w:p>
            <w:pPr>
              <w:pStyle w:val="899"/>
              <w:pBdr/>
              <w:spacing/>
              <w:ind w:left="0"/>
              <w:jc w:val="both"/>
              <w:rPr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43"/>
        <w:widowControl w:val="false"/>
        <w:pBdr/>
        <w:spacing/>
        <w:ind w:firstLine="709"/>
        <w:jc w:val="both"/>
        <w:rPr>
          <w:highlight w:val="none"/>
        </w:rPr>
      </w:pPr>
      <w:r>
        <w:t xml:space="preserve">В случае несогласия с вынесенным решением Вы имеете право в течение 10 ра</w:t>
      </w:r>
      <w:r>
        <w:t xml:space="preserve">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  <w:r>
        <w:rPr>
          <w:highlight w:val="none"/>
        </w:rPr>
      </w:r>
      <w:r>
        <w:rPr>
          <w:highlight w:val="none"/>
        </w:rPr>
      </w:r>
    </w:p>
    <w:p>
      <w:pPr>
        <w:pStyle w:val="843"/>
        <w:pBdr/>
        <w:spacing/>
        <w:ind w:firstLine="390"/>
        <w:jc w:val="both"/>
        <w:rPr/>
      </w:pPr>
      <w:r>
        <w:t xml:space="preserve">Акт получил: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_______________________________</w:t>
        <w:tab/>
        <w:tab/>
        <w:t xml:space="preserve">                                       «___» </w:t>
      </w:r>
      <w:r>
        <w:t xml:space="preserve">апреля</w:t>
      </w:r>
      <w:r>
        <w:t xml:space="preserve"> 2025</w:t>
      </w:r>
      <w:r>
        <w:t xml:space="preserve"> года</w:t>
      </w:r>
      <w:r/>
    </w:p>
    <w:p>
      <w:pPr>
        <w:pStyle w:val="843"/>
        <w:pBdr/>
        <w:spacing/>
        <w:ind w:firstLine="390"/>
        <w:jc w:val="both"/>
        <w:rPr/>
      </w:pPr>
      <w:r>
        <w:t xml:space="preserve">           </w:t>
      </w:r>
      <w:r>
        <w:t xml:space="preserve">(должность, подпись, ФИО)</w:t>
      </w:r>
      <w:r/>
    </w:p>
    <w:sectPr>
      <w:footnotePr/>
      <w:endnotePr/>
      <w:type w:val="nextPage"/>
      <w:pgSz w:h="16838" w:orient="portrait" w:w="11906"/>
      <w:pgMar w:top="710" w:right="566" w:bottom="821" w:left="124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Liberation Sans">
    <w:panose1 w:val="020B0604020202020204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4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4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46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847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Table Grid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>
    <w:name w:val="Heading 1"/>
    <w:basedOn w:val="843"/>
    <w:next w:val="843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6">
    <w:name w:val="Heading 2"/>
    <w:basedOn w:val="843"/>
    <w:next w:val="843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7">
    <w:name w:val="Heading 3"/>
    <w:basedOn w:val="843"/>
    <w:next w:val="843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8">
    <w:name w:val="Heading 4"/>
    <w:basedOn w:val="843"/>
    <w:next w:val="843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9">
    <w:name w:val="Heading 5"/>
    <w:basedOn w:val="843"/>
    <w:next w:val="843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0">
    <w:name w:val="Heading 6"/>
    <w:basedOn w:val="843"/>
    <w:next w:val="843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843"/>
    <w:next w:val="843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843"/>
    <w:next w:val="843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843"/>
    <w:next w:val="843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character" w:styleId="805">
    <w:name w:val="Heading 1 Char"/>
    <w:basedOn w:val="869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6">
    <w:name w:val="Heading 2 Char"/>
    <w:basedOn w:val="869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7">
    <w:name w:val="Heading 3 Char"/>
    <w:basedOn w:val="869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8">
    <w:name w:val="Heading 4 Char"/>
    <w:basedOn w:val="86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9">
    <w:name w:val="Heading 5 Char"/>
    <w:basedOn w:val="869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0">
    <w:name w:val="Heading 6 Char"/>
    <w:basedOn w:val="869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>
    <w:name w:val="Heading 7 Char"/>
    <w:basedOn w:val="869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>
    <w:name w:val="Heading 8 Char"/>
    <w:basedOn w:val="869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9 Char"/>
    <w:basedOn w:val="869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843"/>
    <w:next w:val="843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>
    <w:name w:val="Title Char"/>
    <w:basedOn w:val="869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43"/>
    <w:next w:val="843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>
    <w:name w:val="Subtitle Char"/>
    <w:basedOn w:val="869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843"/>
    <w:next w:val="843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>
    <w:name w:val="Quote Char"/>
    <w:basedOn w:val="869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3"/>
    <w:next w:val="843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69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4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5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26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843"/>
    <w:link w:val="830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0">
    <w:name w:val="Header Char"/>
    <w:basedOn w:val="869"/>
    <w:link w:val="829"/>
    <w:uiPriority w:val="99"/>
    <w:pPr>
      <w:pBdr/>
      <w:spacing/>
      <w:ind/>
    </w:pPr>
  </w:style>
  <w:style w:type="paragraph" w:styleId="831">
    <w:name w:val="Footer"/>
    <w:basedOn w:val="843"/>
    <w:link w:val="832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2">
    <w:name w:val="Footer Char"/>
    <w:basedOn w:val="869"/>
    <w:link w:val="831"/>
    <w:uiPriority w:val="99"/>
    <w:pPr>
      <w:pBdr/>
      <w:spacing/>
      <w:ind/>
    </w:pPr>
  </w:style>
  <w:style w:type="paragraph" w:styleId="833">
    <w:name w:val="Caption"/>
    <w:basedOn w:val="843"/>
    <w:next w:val="84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4">
    <w:name w:val="footnote text"/>
    <w:basedOn w:val="843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Footnote Text Char"/>
    <w:basedOn w:val="869"/>
    <w:link w:val="834"/>
    <w:uiPriority w:val="99"/>
    <w:semiHidden/>
    <w:pPr>
      <w:pBdr/>
      <w:spacing/>
      <w:ind/>
    </w:pPr>
    <w:rPr>
      <w:sz w:val="20"/>
      <w:szCs w:val="20"/>
    </w:rPr>
  </w:style>
  <w:style w:type="paragraph" w:styleId="836">
    <w:name w:val="endnote text"/>
    <w:basedOn w:val="843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paragraph" w:styleId="843" w:default="1">
    <w:name w:val="Normal"/>
    <w:next w:val="843"/>
    <w:link w:val="843"/>
    <w:qFormat/>
    <w:pPr>
      <w:pBdr/>
      <w:spacing/>
      <w:ind/>
    </w:pPr>
    <w:rPr>
      <w:color w:val="00000a"/>
      <w:sz w:val="24"/>
      <w:szCs w:val="24"/>
      <w:lang w:val="ru-RU" w:eastAsia="ru-RU" w:bidi="ar-SA"/>
    </w:rPr>
  </w:style>
  <w:style w:type="paragraph" w:styleId="844">
    <w:name w:val="Заголовок 1"/>
    <w:basedOn w:val="843"/>
    <w:next w:val="883"/>
    <w:link w:val="843"/>
    <w:qFormat/>
    <w:pPr>
      <w:keepNext w:val="true"/>
      <w:numPr>
        <w:ilvl w:val="0"/>
        <w:numId w:val="1"/>
      </w:numPr>
      <w:pBdr/>
      <w:spacing/>
      <w:ind w:right="0" w:firstLine="0" w:left="0"/>
      <w:jc w:val="center"/>
      <w:outlineLvl w:val="0"/>
    </w:pPr>
    <w:rPr>
      <w:szCs w:val="20"/>
    </w:rPr>
  </w:style>
  <w:style w:type="paragraph" w:styleId="845">
    <w:name w:val="Заголовок 2"/>
    <w:basedOn w:val="843"/>
    <w:next w:val="883"/>
    <w:link w:val="843"/>
    <w:qFormat/>
    <w:pPr>
      <w:keepNext w:val="true"/>
      <w:numPr>
        <w:ilvl w:val="1"/>
        <w:numId w:val="1"/>
      </w:numPr>
      <w:pBdr/>
      <w:spacing/>
      <w:ind/>
      <w:outlineLvl w:val="1"/>
    </w:pPr>
    <w:rPr>
      <w:b/>
      <w:bCs/>
    </w:rPr>
  </w:style>
  <w:style w:type="paragraph" w:styleId="846">
    <w:name w:val="Заголовок 3"/>
    <w:basedOn w:val="882"/>
    <w:next w:val="883"/>
    <w:link w:val="843"/>
    <w:qFormat/>
    <w:pPr>
      <w:numPr>
        <w:ilvl w:val="2"/>
        <w:numId w:val="1"/>
      </w:numPr>
      <w:pBdr/>
      <w:spacing/>
      <w:ind/>
      <w:outlineLvl w:val="2"/>
    </w:pPr>
  </w:style>
  <w:style w:type="paragraph" w:styleId="847">
    <w:name w:val="Заголовок 4"/>
    <w:basedOn w:val="843"/>
    <w:next w:val="883"/>
    <w:link w:val="843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rFonts w:ascii="Calibri" w:hAnsi="Calibri" w:cs="Calibri"/>
      <w:b/>
      <w:bCs/>
      <w:sz w:val="28"/>
      <w:szCs w:val="28"/>
    </w:rPr>
  </w:style>
  <w:style w:type="character" w:styleId="848">
    <w:name w:val="Основной шрифт абзаца"/>
    <w:next w:val="848"/>
    <w:link w:val="843"/>
    <w:uiPriority w:val="1"/>
    <w:semiHidden/>
    <w:unhideWhenUsed/>
    <w:pPr>
      <w:pBdr/>
      <w:spacing/>
      <w:ind/>
    </w:pPr>
  </w:style>
  <w:style w:type="table" w:styleId="849">
    <w:name w:val="Обычная таблица"/>
    <w:next w:val="849"/>
    <w:link w:val="843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>
    <w:name w:val="Нет списка"/>
    <w:next w:val="850"/>
    <w:link w:val="843"/>
    <w:uiPriority w:val="99"/>
    <w:semiHidden/>
    <w:unhideWhenUsed/>
    <w:pPr>
      <w:pBdr/>
      <w:spacing/>
      <w:ind/>
    </w:pPr>
  </w:style>
  <w:style w:type="character" w:styleId="851">
    <w:name w:val="WW8Num1z0"/>
    <w:next w:val="851"/>
    <w:link w:val="843"/>
    <w:pPr>
      <w:pBdr/>
      <w:spacing/>
      <w:ind/>
    </w:pPr>
  </w:style>
  <w:style w:type="character" w:styleId="852">
    <w:name w:val="WW8Num1z1"/>
    <w:next w:val="852"/>
    <w:link w:val="843"/>
    <w:pPr>
      <w:pBdr/>
      <w:spacing/>
      <w:ind/>
    </w:pPr>
  </w:style>
  <w:style w:type="character" w:styleId="853">
    <w:name w:val="WW8Num1z2"/>
    <w:next w:val="853"/>
    <w:link w:val="843"/>
    <w:pPr>
      <w:pBdr/>
      <w:spacing/>
      <w:ind/>
    </w:pPr>
  </w:style>
  <w:style w:type="character" w:styleId="854">
    <w:name w:val="WW8Num1z3"/>
    <w:next w:val="854"/>
    <w:link w:val="843"/>
    <w:pPr>
      <w:pBdr/>
      <w:spacing/>
      <w:ind/>
    </w:pPr>
  </w:style>
  <w:style w:type="character" w:styleId="855">
    <w:name w:val="WW8Num1z4"/>
    <w:next w:val="855"/>
    <w:link w:val="843"/>
    <w:pPr>
      <w:pBdr/>
      <w:spacing/>
      <w:ind/>
    </w:pPr>
  </w:style>
  <w:style w:type="character" w:styleId="856">
    <w:name w:val="WW8Num1z5"/>
    <w:next w:val="856"/>
    <w:link w:val="843"/>
    <w:pPr>
      <w:pBdr/>
      <w:spacing/>
      <w:ind/>
    </w:pPr>
  </w:style>
  <w:style w:type="character" w:styleId="857">
    <w:name w:val="WW8Num1z6"/>
    <w:next w:val="857"/>
    <w:link w:val="843"/>
    <w:pPr>
      <w:pBdr/>
      <w:spacing/>
      <w:ind/>
    </w:pPr>
  </w:style>
  <w:style w:type="character" w:styleId="858">
    <w:name w:val="WW8Num1z7"/>
    <w:next w:val="858"/>
    <w:link w:val="843"/>
    <w:pPr>
      <w:pBdr/>
      <w:spacing/>
      <w:ind/>
    </w:pPr>
  </w:style>
  <w:style w:type="character" w:styleId="859">
    <w:name w:val="WW8Num1z8"/>
    <w:next w:val="859"/>
    <w:link w:val="843"/>
    <w:pPr>
      <w:pBdr/>
      <w:spacing/>
      <w:ind/>
    </w:pPr>
  </w:style>
  <w:style w:type="character" w:styleId="860">
    <w:name w:val="WW8Num2z0"/>
    <w:next w:val="860"/>
    <w:link w:val="843"/>
    <w:pPr>
      <w:pBdr/>
      <w:spacing/>
      <w:ind/>
    </w:pPr>
    <w:rPr>
      <w:rFonts w:eastAsia="Calibri"/>
      <w:lang w:eastAsia="en-US"/>
    </w:rPr>
  </w:style>
  <w:style w:type="character" w:styleId="861">
    <w:name w:val="WW8Num2z1"/>
    <w:next w:val="861"/>
    <w:link w:val="843"/>
    <w:pPr>
      <w:pBdr/>
      <w:spacing/>
      <w:ind/>
    </w:pPr>
  </w:style>
  <w:style w:type="character" w:styleId="862">
    <w:name w:val="WW8Num2z2"/>
    <w:next w:val="862"/>
    <w:link w:val="843"/>
    <w:pPr>
      <w:pBdr/>
      <w:spacing/>
      <w:ind/>
    </w:pPr>
  </w:style>
  <w:style w:type="character" w:styleId="863">
    <w:name w:val="WW8Num2z3"/>
    <w:next w:val="863"/>
    <w:link w:val="843"/>
    <w:pPr>
      <w:pBdr/>
      <w:spacing/>
      <w:ind/>
    </w:pPr>
  </w:style>
  <w:style w:type="character" w:styleId="864">
    <w:name w:val="WW8Num2z4"/>
    <w:next w:val="864"/>
    <w:link w:val="843"/>
    <w:pPr>
      <w:pBdr/>
      <w:spacing/>
      <w:ind/>
    </w:pPr>
  </w:style>
  <w:style w:type="character" w:styleId="865">
    <w:name w:val="WW8Num2z5"/>
    <w:next w:val="865"/>
    <w:link w:val="843"/>
    <w:pPr>
      <w:pBdr/>
      <w:spacing/>
      <w:ind/>
    </w:pPr>
  </w:style>
  <w:style w:type="character" w:styleId="866">
    <w:name w:val="WW8Num2z6"/>
    <w:next w:val="866"/>
    <w:link w:val="843"/>
    <w:pPr>
      <w:pBdr/>
      <w:spacing/>
      <w:ind/>
    </w:pPr>
  </w:style>
  <w:style w:type="character" w:styleId="867">
    <w:name w:val="WW8Num2z7"/>
    <w:next w:val="867"/>
    <w:link w:val="843"/>
    <w:pPr>
      <w:pBdr/>
      <w:spacing/>
      <w:ind/>
    </w:pPr>
  </w:style>
  <w:style w:type="character" w:styleId="868">
    <w:name w:val="WW8Num2z8"/>
    <w:next w:val="868"/>
    <w:link w:val="843"/>
    <w:pPr>
      <w:pBdr/>
      <w:spacing/>
      <w:ind/>
    </w:pPr>
  </w:style>
  <w:style w:type="character" w:styleId="869" w:default="1">
    <w:name w:val="Default Paragraph Font"/>
    <w:next w:val="869"/>
    <w:link w:val="843"/>
    <w:pPr>
      <w:pBdr/>
      <w:spacing/>
      <w:ind/>
    </w:pPr>
  </w:style>
  <w:style w:type="character" w:styleId="870">
    <w:name w:val="Заголовок 4 Знак"/>
    <w:next w:val="870"/>
    <w:link w:val="843"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71">
    <w:name w:val="footnote reference"/>
    <w:next w:val="871"/>
    <w:link w:val="843"/>
    <w:pPr>
      <w:pBdr/>
      <w:spacing/>
      <w:ind/>
    </w:pPr>
    <w:rPr>
      <w:vertAlign w:val="superscript"/>
    </w:rPr>
  </w:style>
  <w:style w:type="character" w:styleId="872">
    <w:name w:val="Цветовое выделение"/>
    <w:next w:val="872"/>
    <w:link w:val="843"/>
    <w:pPr>
      <w:pBdr/>
      <w:spacing/>
      <w:ind/>
    </w:pPr>
    <w:rPr>
      <w:b/>
      <w:bCs/>
      <w:color w:val="26282f"/>
    </w:rPr>
  </w:style>
  <w:style w:type="character" w:styleId="873">
    <w:name w:val="Гипертекстовая ссылка"/>
    <w:next w:val="873"/>
    <w:link w:val="843"/>
    <w:pPr>
      <w:pBdr/>
      <w:spacing/>
      <w:ind/>
    </w:pPr>
    <w:rPr>
      <w:b/>
      <w:bCs/>
      <w:color w:val="106bbe"/>
    </w:rPr>
  </w:style>
  <w:style w:type="character" w:styleId="874">
    <w:name w:val="Гиперссылка"/>
    <w:next w:val="874"/>
    <w:link w:val="843"/>
    <w:pPr>
      <w:pBdr/>
      <w:spacing/>
      <w:ind/>
    </w:pPr>
    <w:rPr>
      <w:color w:val="0000ff"/>
      <w:u w:val="single"/>
    </w:rPr>
  </w:style>
  <w:style w:type="character" w:styleId="875">
    <w:name w:val="Подзаголовок Знак"/>
    <w:next w:val="875"/>
    <w:link w:val="843"/>
    <w:pPr>
      <w:pBdr/>
      <w:spacing/>
      <w:ind/>
    </w:pPr>
    <w:rPr>
      <w:b/>
      <w:bCs/>
      <w:sz w:val="28"/>
      <w:szCs w:val="24"/>
    </w:rPr>
  </w:style>
  <w:style w:type="character" w:styleId="876">
    <w:name w:val="Верхний колонтитул Знак"/>
    <w:next w:val="876"/>
    <w:link w:val="843"/>
    <w:pPr>
      <w:pBdr/>
      <w:spacing/>
      <w:ind/>
    </w:pPr>
    <w:rPr>
      <w:sz w:val="24"/>
      <w:szCs w:val="24"/>
    </w:rPr>
  </w:style>
  <w:style w:type="character" w:styleId="877">
    <w:name w:val="Нижний колонтитул Знак"/>
    <w:next w:val="877"/>
    <w:link w:val="843"/>
    <w:pPr>
      <w:pBdr/>
      <w:spacing/>
      <w:ind/>
    </w:pPr>
    <w:rPr>
      <w:sz w:val="24"/>
      <w:szCs w:val="24"/>
    </w:rPr>
  </w:style>
  <w:style w:type="character" w:styleId="878">
    <w:name w:val="ListLabel 1"/>
    <w:next w:val="878"/>
    <w:link w:val="843"/>
    <w:pPr>
      <w:pBdr/>
      <w:spacing/>
      <w:ind/>
    </w:pPr>
    <w:rPr>
      <w:b/>
    </w:rPr>
  </w:style>
  <w:style w:type="character" w:styleId="879">
    <w:name w:val="ListLabel 2"/>
    <w:next w:val="879"/>
    <w:link w:val="843"/>
    <w:pPr>
      <w:pBdr/>
      <w:spacing/>
      <w:ind/>
    </w:pPr>
    <w:rPr>
      <w:sz w:val="24"/>
      <w:szCs w:val="24"/>
    </w:rPr>
  </w:style>
  <w:style w:type="character" w:styleId="880">
    <w:name w:val="ListLabel 3"/>
    <w:next w:val="880"/>
    <w:link w:val="843"/>
    <w:pPr>
      <w:pBdr/>
      <w:spacing/>
      <w:ind/>
    </w:pPr>
    <w:rPr>
      <w:rFonts w:cs="Courier New"/>
    </w:rPr>
  </w:style>
  <w:style w:type="character" w:styleId="881">
    <w:name w:val="ListLabel 4"/>
    <w:next w:val="881"/>
    <w:link w:val="843"/>
    <w:pPr>
      <w:pBdr/>
      <w:spacing/>
      <w:ind/>
    </w:pPr>
    <w:rPr>
      <w:sz w:val="24"/>
    </w:rPr>
  </w:style>
  <w:style w:type="paragraph" w:styleId="882">
    <w:name w:val="Заголовок"/>
    <w:basedOn w:val="843"/>
    <w:next w:val="883"/>
    <w:link w:val="843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3">
    <w:name w:val="Основной текст"/>
    <w:basedOn w:val="843"/>
    <w:next w:val="883"/>
    <w:link w:val="843"/>
    <w:pPr>
      <w:pBdr/>
      <w:spacing w:after="140" w:before="0" w:line="288" w:lineRule="auto"/>
      <w:ind/>
    </w:pPr>
  </w:style>
  <w:style w:type="paragraph" w:styleId="884">
    <w:name w:val="Список"/>
    <w:basedOn w:val="883"/>
    <w:next w:val="884"/>
    <w:link w:val="843"/>
    <w:pPr>
      <w:pBdr/>
      <w:spacing/>
      <w:ind/>
    </w:pPr>
    <w:rPr>
      <w:rFonts w:cs="Mangal"/>
    </w:rPr>
  </w:style>
  <w:style w:type="paragraph" w:styleId="885">
    <w:name w:val="Название объекта"/>
    <w:basedOn w:val="843"/>
    <w:next w:val="885"/>
    <w:link w:val="843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886">
    <w:name w:val="Указатель1"/>
    <w:basedOn w:val="843"/>
    <w:next w:val="886"/>
    <w:link w:val="843"/>
    <w:pPr>
      <w:suppressLineNumbers w:val="true"/>
      <w:pBdr/>
      <w:spacing/>
      <w:ind/>
    </w:pPr>
    <w:rPr>
      <w:rFonts w:cs="Mangal"/>
    </w:rPr>
  </w:style>
  <w:style w:type="paragraph" w:styleId="887">
    <w:name w:val="Balloon Text"/>
    <w:basedOn w:val="843"/>
    <w:next w:val="887"/>
    <w:link w:val="843"/>
    <w:pPr>
      <w:pBdr/>
      <w:spacing/>
      <w:ind/>
    </w:pPr>
    <w:rPr>
      <w:rFonts w:ascii="Tahoma" w:hAnsi="Tahoma" w:cs="Tahoma"/>
      <w:sz w:val="16"/>
      <w:szCs w:val="16"/>
    </w:rPr>
  </w:style>
  <w:style w:type="paragraph" w:styleId="888">
    <w:name w:val="ConsPlusTitle"/>
    <w:next w:val="888"/>
    <w:link w:val="843"/>
    <w:pPr>
      <w:widowControl w:val="false"/>
      <w:pBdr/>
      <w:spacing/>
      <w:ind/>
    </w:pPr>
    <w:rPr>
      <w:rFonts w:ascii="Arial" w:hAnsi="Arial" w:cs="Arial"/>
      <w:b/>
      <w:bCs/>
      <w:color w:val="00000a"/>
      <w:sz w:val="16"/>
      <w:szCs w:val="16"/>
      <w:lang w:val="ru-RU" w:eastAsia="ru-RU" w:bidi="ar-SA"/>
    </w:rPr>
  </w:style>
  <w:style w:type="paragraph" w:styleId="889">
    <w:name w:val="ConsPlusNormal"/>
    <w:next w:val="889"/>
    <w:link w:val="843"/>
    <w:pPr>
      <w:widowControl w:val="false"/>
      <w:pBdr/>
      <w:spacing/>
      <w:ind w:firstLine="720"/>
    </w:pPr>
    <w:rPr>
      <w:rFonts w:ascii="Arial" w:hAnsi="Arial" w:cs="Arial"/>
      <w:color w:val="00000a"/>
      <w:sz w:val="24"/>
      <w:lang w:val="ru-RU" w:eastAsia="ru-RU" w:bidi="ar-SA"/>
    </w:rPr>
  </w:style>
  <w:style w:type="paragraph" w:styleId="890">
    <w:name w:val="Основной текст с отступом"/>
    <w:basedOn w:val="843"/>
    <w:next w:val="890"/>
    <w:link w:val="843"/>
    <w:pPr>
      <w:pBdr/>
      <w:spacing/>
      <w:ind w:right="0" w:firstLine="550" w:left="0"/>
      <w:jc w:val="both"/>
    </w:pPr>
    <w:rPr>
      <w:sz w:val="28"/>
      <w:szCs w:val="20"/>
    </w:rPr>
  </w:style>
  <w:style w:type="paragraph" w:styleId="891">
    <w:name w:val="ConsPlusNonformat"/>
    <w:next w:val="891"/>
    <w:link w:val="843"/>
    <w:pPr>
      <w:widowControl w:val="false"/>
      <w:pBdr/>
      <w:spacing/>
      <w:ind/>
    </w:pPr>
    <w:rPr>
      <w:rFonts w:ascii="Courier New" w:hAnsi="Courier New" w:cs="Courier New"/>
      <w:color w:val="00000a"/>
      <w:sz w:val="24"/>
      <w:lang w:val="ru-RU" w:eastAsia="ru-RU" w:bidi="ar-SA"/>
    </w:rPr>
  </w:style>
  <w:style w:type="paragraph" w:styleId="892">
    <w:name w:val="Знак"/>
    <w:basedOn w:val="843"/>
    <w:next w:val="892"/>
    <w:link w:val="843"/>
    <w:pPr>
      <w:pBdr/>
      <w:spacing w:after="160" w:before="0" w:line="240" w:lineRule="exact"/>
      <w:ind/>
    </w:pPr>
    <w:rPr>
      <w:rFonts w:ascii="Verdana" w:hAnsi="Verdana" w:cs="Verdana"/>
      <w:lang w:val="en-US" w:eastAsia="en-US"/>
    </w:rPr>
  </w:style>
  <w:style w:type="paragraph" w:styleId="893">
    <w:name w:val="tekstob"/>
    <w:basedOn w:val="843"/>
    <w:next w:val="893"/>
    <w:link w:val="843"/>
    <w:pPr>
      <w:pBdr/>
      <w:spacing w:after="280" w:before="280"/>
      <w:ind/>
    </w:pPr>
  </w:style>
  <w:style w:type="paragraph" w:styleId="894">
    <w:name w:val="Normal (Web)"/>
    <w:basedOn w:val="843"/>
    <w:next w:val="894"/>
    <w:link w:val="843"/>
    <w:pPr>
      <w:pBdr/>
      <w:spacing w:after="280" w:before="280"/>
      <w:ind/>
    </w:pPr>
  </w:style>
  <w:style w:type="paragraph" w:styleId="895">
    <w:name w:val="Default"/>
    <w:next w:val="895"/>
    <w:link w:val="843"/>
    <w:pPr>
      <w:pBdr/>
      <w:spacing/>
      <w:ind/>
    </w:pPr>
    <w:rPr>
      <w:color w:val="000000"/>
      <w:sz w:val="24"/>
      <w:szCs w:val="24"/>
      <w:lang w:val="ru-RU" w:eastAsia="ru-RU" w:bidi="ar-SA"/>
    </w:rPr>
  </w:style>
  <w:style w:type="paragraph" w:styleId="896">
    <w:name w:val="Нормальный (таблица)"/>
    <w:basedOn w:val="843"/>
    <w:next w:val="896"/>
    <w:link w:val="843"/>
    <w:pPr>
      <w:widowControl w:val="false"/>
      <w:pBdr/>
      <w:spacing/>
      <w:ind/>
      <w:jc w:val="both"/>
    </w:pPr>
    <w:rPr>
      <w:rFonts w:ascii="Arial" w:hAnsi="Arial" w:cs="Arial"/>
      <w:sz w:val="26"/>
      <w:szCs w:val="26"/>
    </w:rPr>
  </w:style>
  <w:style w:type="paragraph" w:styleId="897">
    <w:name w:val="Прижатый влево"/>
    <w:basedOn w:val="843"/>
    <w:next w:val="897"/>
    <w:link w:val="843"/>
    <w:pPr>
      <w:widowControl w:val="false"/>
      <w:pBdr/>
      <w:spacing/>
      <w:ind/>
    </w:pPr>
    <w:rPr>
      <w:rFonts w:ascii="Arial" w:hAnsi="Arial" w:cs="Arial"/>
      <w:sz w:val="26"/>
      <w:szCs w:val="26"/>
    </w:rPr>
  </w:style>
  <w:style w:type="paragraph" w:styleId="898">
    <w:name w:val="Абзац списка1"/>
    <w:basedOn w:val="843"/>
    <w:next w:val="898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899">
    <w:name w:val="List Paragraph"/>
    <w:basedOn w:val="843"/>
    <w:next w:val="899"/>
    <w:link w:val="843"/>
    <w:pPr>
      <w:pBdr/>
      <w:spacing w:after="0" w:before="0"/>
      <w:ind w:right="0" w:firstLine="0" w:left="720"/>
      <w:contextualSpacing w:val="true"/>
    </w:pPr>
    <w:rPr>
      <w:lang w:eastAsia="ar-SA"/>
    </w:rPr>
  </w:style>
  <w:style w:type="paragraph" w:styleId="900">
    <w:name w:val="No Spacing"/>
    <w:next w:val="900"/>
    <w:link w:val="843"/>
    <w:pPr>
      <w:pBdr/>
      <w:spacing/>
      <w:ind/>
    </w:pPr>
    <w:rPr>
      <w:rFonts w:ascii="Calibri" w:hAnsi="Calibri" w:eastAsia="Calibri"/>
      <w:color w:val="00000a"/>
      <w:sz w:val="22"/>
      <w:szCs w:val="22"/>
      <w:lang w:val="ru-RU" w:eastAsia="en-US" w:bidi="ar-SA"/>
    </w:rPr>
  </w:style>
  <w:style w:type="paragraph" w:styleId="901">
    <w:name w:val="Название объекта2"/>
    <w:basedOn w:val="843"/>
    <w:next w:val="901"/>
    <w:link w:val="843"/>
    <w:pPr>
      <w:pBdr/>
      <w:spacing/>
      <w:ind/>
      <w:jc w:val="center"/>
    </w:pPr>
    <w:rPr>
      <w:sz w:val="28"/>
      <w:szCs w:val="20"/>
      <w:lang w:eastAsia="ar-SA"/>
    </w:rPr>
  </w:style>
  <w:style w:type="paragraph" w:styleId="902">
    <w:name w:val="Абзац списка2"/>
    <w:basedOn w:val="843"/>
    <w:next w:val="902"/>
    <w:link w:val="843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  <w:lang w:eastAsia="en-US"/>
    </w:rPr>
  </w:style>
  <w:style w:type="paragraph" w:styleId="903">
    <w:name w:val="Подзаголовок"/>
    <w:basedOn w:val="843"/>
    <w:next w:val="883"/>
    <w:link w:val="843"/>
    <w:qFormat/>
    <w:pPr>
      <w:pBdr/>
      <w:spacing/>
      <w:ind/>
      <w:jc w:val="center"/>
    </w:pPr>
    <w:rPr>
      <w:b/>
      <w:bCs/>
      <w:sz w:val="28"/>
    </w:rPr>
  </w:style>
  <w:style w:type="paragraph" w:styleId="904">
    <w:name w:val="parametervalue"/>
    <w:basedOn w:val="843"/>
    <w:next w:val="904"/>
    <w:link w:val="843"/>
    <w:pPr>
      <w:pBdr/>
      <w:spacing w:after="280" w:before="280"/>
      <w:ind/>
    </w:pPr>
    <w:rPr>
      <w:lang w:eastAsia="zh-CN"/>
    </w:rPr>
  </w:style>
  <w:style w:type="paragraph" w:styleId="905">
    <w:name w:val="Верхний колонтитул"/>
    <w:basedOn w:val="843"/>
    <w:next w:val="905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6">
    <w:name w:val="Нижний колонтитул"/>
    <w:basedOn w:val="843"/>
    <w:next w:val="906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7">
    <w:name w:val="Блочная цитата"/>
    <w:basedOn w:val="843"/>
    <w:next w:val="907"/>
    <w:link w:val="843"/>
    <w:pPr>
      <w:pBdr/>
      <w:spacing/>
      <w:ind/>
    </w:pPr>
  </w:style>
  <w:style w:type="paragraph" w:styleId="908">
    <w:name w:val="Название"/>
    <w:basedOn w:val="882"/>
    <w:next w:val="883"/>
    <w:link w:val="843"/>
    <w:qFormat/>
    <w:pPr>
      <w:pBdr/>
      <w:spacing/>
      <w:ind/>
    </w:pPr>
  </w:style>
  <w:style w:type="paragraph" w:styleId="909">
    <w:name w:val="Содержимое таблицы"/>
    <w:basedOn w:val="843"/>
    <w:next w:val="909"/>
    <w:link w:val="843"/>
    <w:pPr>
      <w:suppressLineNumbers w:val="true"/>
      <w:pBdr/>
      <w:spacing/>
      <w:ind/>
    </w:pPr>
  </w:style>
  <w:style w:type="paragraph" w:styleId="910">
    <w:name w:val="Заголовок таблицы"/>
    <w:basedOn w:val="909"/>
    <w:next w:val="910"/>
    <w:link w:val="843"/>
    <w:pPr>
      <w:suppressLineNumbers w:val="true"/>
      <w:pBdr/>
      <w:spacing/>
      <w:ind/>
      <w:jc w:val="center"/>
    </w:pPr>
    <w:rPr>
      <w:b/>
      <w:bCs/>
    </w:rPr>
  </w:style>
  <w:style w:type="paragraph" w:styleId="911">
    <w:name w:val="Содержимое списка"/>
    <w:basedOn w:val="843"/>
    <w:next w:val="911"/>
    <w:link w:val="843"/>
    <w:pPr>
      <w:pBdr/>
      <w:spacing/>
      <w:ind w:right="0" w:firstLine="0" w:left="567"/>
    </w:pPr>
  </w:style>
  <w:style w:type="paragraph" w:styleId="912">
    <w:name w:val="Заголовок списка"/>
    <w:basedOn w:val="843"/>
    <w:next w:val="911"/>
    <w:link w:val="843"/>
    <w:pPr>
      <w:pBdr/>
      <w:spacing/>
      <w:ind w:right="0" w:firstLine="0" w:left="0"/>
    </w:pPr>
  </w:style>
  <w:style w:type="character" w:styleId="913" w:customStyle="1">
    <w:name w:val="Интернет-ссылка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 ГОРОДА КАЛУГИ</dc:title>
  <dc:creator>gricynaia</dc:creator>
  <cp:revision>5</cp:revision>
  <dcterms:created xsi:type="dcterms:W3CDTF">2021-11-10T14:41:00Z</dcterms:created>
  <dcterms:modified xsi:type="dcterms:W3CDTF">2025-04-28T10:08:51Z</dcterms:modified>
  <cp:version>983040</cp:version>
</cp:coreProperties>
</file>