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об обращениях юридических лиц в органы Городской Управы города Калуги за 2023 год.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2023 год в органы Городской Управы города Калуги поступило </w:t>
      </w:r>
      <w:r>
        <w:rPr>
          <w:rFonts w:ascii="Times New Roman" w:hAnsi="Times New Roman"/>
          <w:b/>
          <w:shd w:fill="auto" w:val="clear"/>
        </w:rPr>
        <w:t xml:space="preserve">79324 </w:t>
      </w:r>
      <w:r>
        <w:rPr>
          <w:rFonts w:ascii="Times New Roman" w:hAnsi="Times New Roman"/>
          <w:shd w:fill="auto" w:val="clear"/>
        </w:rPr>
        <w:t>обращений юридических лиц (в том числе подведомственных учреждений), что на 1,1%</w:t>
      </w:r>
      <w:r>
        <w:rPr>
          <w:rFonts w:ascii="Times New Roman" w:hAnsi="Times New Roman"/>
        </w:rPr>
        <w:t xml:space="preserve"> меньше, чем за аналогичный период 2022 года </w:t>
      </w:r>
      <w:r>
        <w:rPr>
          <w:rFonts w:ascii="Times New Roman" w:hAnsi="Times New Roman"/>
          <w:shd w:fill="auto" w:val="clear"/>
        </w:rPr>
        <w:t>(</w:t>
      </w:r>
      <w:r>
        <w:rPr>
          <w:rFonts w:ascii="Times New Roman" w:hAnsi="Times New Roman"/>
          <w:b/>
          <w:shd w:fill="auto" w:val="clear"/>
        </w:rPr>
        <w:t>80236</w:t>
      </w:r>
      <w:r>
        <w:rPr>
          <w:rFonts w:ascii="Times New Roman" w:hAnsi="Times New Roman"/>
          <w:shd w:fill="auto" w:val="clear"/>
        </w:rPr>
        <w:t>).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 о количестве поступивших и рассмотренных органами Городской Управы города Калуги обращений юридических лиц.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Style w:val="a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2"/>
        <w:gridCol w:w="636"/>
        <w:gridCol w:w="706"/>
        <w:gridCol w:w="848"/>
        <w:gridCol w:w="796"/>
        <w:gridCol w:w="637"/>
        <w:gridCol w:w="565"/>
        <w:gridCol w:w="1032"/>
        <w:gridCol w:w="1057"/>
        <w:gridCol w:w="848"/>
        <w:gridCol w:w="696"/>
      </w:tblGrid>
      <w:tr>
        <w:trPr/>
        <w:tc>
          <w:tcPr>
            <w:tcW w:w="152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821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0"/>
                <w:szCs w:val="16"/>
              </w:rPr>
            </w:pPr>
            <w:r>
              <w:rPr>
                <w:rFonts w:eastAsia="Arial Unicode MS" w:cs="" w:ascii="Times New Roman" w:hAnsi="Times New Roman"/>
                <w:b/>
                <w:color w:val="auto"/>
                <w:kern w:val="0"/>
                <w:sz w:val="10"/>
                <w:szCs w:val="16"/>
                <w:lang w:val="ru-RU" w:bidi="ar-SA"/>
              </w:rPr>
              <w:t>Обращения юридических лиц, всего</w:t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  <w:tc>
          <w:tcPr>
            <w:tcW w:w="298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2022 год</w:t>
            </w:r>
          </w:p>
        </w:tc>
        <w:tc>
          <w:tcPr>
            <w:tcW w:w="4139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2023 год</w:t>
            </w:r>
          </w:p>
        </w:tc>
        <w:tc>
          <w:tcPr>
            <w:tcW w:w="6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bCs/>
                <w:color w:val="auto"/>
                <w:spacing w:val="-8"/>
                <w:kern w:val="0"/>
                <w:sz w:val="10"/>
                <w:szCs w:val="16"/>
                <w:lang w:val="ru-RU" w:bidi="ar-SA"/>
              </w:rPr>
              <w:t xml:space="preserve">% </w:t>
            </w:r>
            <w:r>
              <w:rPr>
                <w:rFonts w:eastAsia="Calibri" w:cs="" w:ascii="Times New Roman" w:hAnsi="Times New Roman"/>
                <w:bCs/>
                <w:color w:val="auto"/>
                <w:spacing w:val="-8"/>
                <w:kern w:val="0"/>
                <w:sz w:val="10"/>
                <w:szCs w:val="16"/>
                <w:lang w:val="ru-RU" w:bidi="ar-SA"/>
              </w:rPr>
              <w:t>рост (снижение) показателя</w:t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  <w:tc>
          <w:tcPr>
            <w:tcW w:w="63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всего</w:t>
            </w:r>
          </w:p>
        </w:tc>
        <w:tc>
          <w:tcPr>
            <w:tcW w:w="23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из них</w:t>
            </w:r>
          </w:p>
        </w:tc>
        <w:tc>
          <w:tcPr>
            <w:tcW w:w="63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всего</w:t>
            </w:r>
          </w:p>
        </w:tc>
        <w:tc>
          <w:tcPr>
            <w:tcW w:w="3502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из них</w:t>
            </w:r>
          </w:p>
        </w:tc>
        <w:tc>
          <w:tcPr>
            <w:tcW w:w="6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  <w:tc>
          <w:tcPr>
            <w:tcW w:w="63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  <w:tc>
          <w:tcPr>
            <w:tcW w:w="7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орган Городской Управы города Калуги</w:t>
            </w:r>
          </w:p>
        </w:tc>
        <w:tc>
          <w:tcPr>
            <w:tcW w:w="84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7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первого заместителя Городского Головы города Калуги и заместителя Городского головы Города Калуги по социальным вопросам</w:t>
            </w:r>
          </w:p>
        </w:tc>
        <w:tc>
          <w:tcPr>
            <w:tcW w:w="6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  <w:tc>
          <w:tcPr>
            <w:tcW w:w="159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орган Городской Управы города Калуги</w:t>
            </w:r>
          </w:p>
        </w:tc>
        <w:tc>
          <w:tcPr>
            <w:tcW w:w="105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84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первого заместителя Городского Головы города Калуги (направлено на рассмотрение в органы Городской Управы города Калуги)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  <w:tc>
          <w:tcPr>
            <w:tcW w:w="6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63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7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84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7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6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всего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том числе от подведомственных учреждений</w:t>
            </w:r>
          </w:p>
        </w:tc>
        <w:tc>
          <w:tcPr>
            <w:tcW w:w="10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84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  <w:tc>
          <w:tcPr>
            <w:tcW w:w="6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4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5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6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7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9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Городской Голова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11296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11296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11624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11593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+2,9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12650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8734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3916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14235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9961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237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4037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+12,5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10704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8287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2413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12149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9326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375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2448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+13,5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12774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12272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500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11999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11496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498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-6,1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делами Городского Головы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12925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10143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2746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36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11945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8601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3262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-7,6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городского хозяйства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9543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5897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3644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10053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5295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999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3759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+5,3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экономии и имущественных отношений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10028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6486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3539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9914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5041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1257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3614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-1,1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5572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4793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661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118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7840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6835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686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314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+40,7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по работе с населением на территориях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4784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725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2386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1673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5394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999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2170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2219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+12,8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образования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4152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2405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1676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71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4396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2498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1842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42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+5,9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социальной защиты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4771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3932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813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26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3246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2330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861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53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-32,0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Первый заместитель Городского Головы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2488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1906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1582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2964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2474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487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+19,1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финансов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2823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1961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862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2572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1377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306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889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-8,9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2092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632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1267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193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2501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794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1505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194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+19,6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Отдел по организации защиты населения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2078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396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1673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2046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364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1660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-1,5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культуры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1195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266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921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1240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200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1023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+3,8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Заместитель Городского Головы – главный архитектор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524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105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418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616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140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470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+17,6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ИТОГО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110399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80236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28017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2146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114734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79324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3331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29211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2868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+3,9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В адрес Городского Головы города Калуги за 2023 года поступило </w:t>
      </w:r>
      <w:r>
        <w:rPr>
          <w:rFonts w:ascii="Times New Roman" w:hAnsi="Times New Roman"/>
          <w:color w:val="000000"/>
          <w:shd w:fill="auto" w:val="clear"/>
        </w:rPr>
        <w:t>11624 документа, что на 2,9% больше, чем за аналогичный период 2022 года (11296). В общем объеме входящих документов доля их составляет 10,1 %.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Для организации работы по поступившим обращениям юридических лиц Городским Головой города Калуги было дано </w:t>
      </w:r>
      <w:r>
        <w:rPr>
          <w:rFonts w:ascii="Times New Roman" w:hAnsi="Times New Roman"/>
          <w:color w:val="000000"/>
          <w:shd w:fill="auto" w:val="clear"/>
        </w:rPr>
        <w:t xml:space="preserve">29211 </w:t>
      </w:r>
      <w:r>
        <w:rPr>
          <w:rFonts w:ascii="Times New Roman" w:hAnsi="Times New Roman"/>
          <w:color w:val="auto"/>
        </w:rPr>
        <w:t xml:space="preserve">поручений органам Городской Управы города Калуги, из которых </w:t>
      </w:r>
      <w:r>
        <w:rPr>
          <w:rFonts w:ascii="Times New Roman" w:hAnsi="Times New Roman"/>
          <w:color w:val="000000"/>
          <w:shd w:fill="auto" w:val="clear"/>
        </w:rPr>
        <w:t>61 % были поставлены на контроль, 38% контр</w:t>
      </w:r>
      <w:r>
        <w:rPr>
          <w:rFonts w:ascii="Times New Roman" w:hAnsi="Times New Roman"/>
          <w:color w:val="auto"/>
        </w:rPr>
        <w:t xml:space="preserve">ольных поручений были рассмотрены в сжатые сроки (7 календарных дней).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2023 года по итогам рабочих совещаний Городским Головой города Калуги было дано</w:t>
      </w:r>
      <w:r>
        <w:rPr>
          <w:rFonts w:ascii="Times New Roman" w:hAnsi="Times New Roman"/>
          <w:color w:val="000000"/>
          <w:shd w:fill="auto" w:val="clear"/>
        </w:rPr>
        <w:t xml:space="preserve"> 1828 поруч</w:t>
      </w:r>
      <w:r>
        <w:rPr>
          <w:rFonts w:ascii="Times New Roman" w:hAnsi="Times New Roman"/>
          <w:color w:val="auto"/>
        </w:rPr>
        <w:t>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green"/>
        </w:rPr>
      </w:pPr>
      <w:r>
        <w:rPr>
          <w:rFonts w:ascii="Times New Roman" w:hAnsi="Times New Roman"/>
        </w:rPr>
        <w:t xml:space="preserve">Основной темой обращений юридических лиц остаются вопросы, связанные с земельными отношениями, развитием местного самоуправления, а также затрагивающие социальное и экономическое положение населения: социальной защиты населения, проблемы содержания коммунальной инфраструктуры, обеспечения безопасности дорожного движения, строительства социальных объектов, дорог, тротуаров, благоустройства общественных территорий и имущественные вопросы.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highlight w:val="green"/>
        </w:rPr>
      </w:pPr>
      <w:r>
        <w:rPr>
          <w:rFonts w:ascii="Times New Roman" w:hAnsi="Times New Roman"/>
          <w:color w:val="auto"/>
          <w:highlight w:val="gree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yellow"/>
        </w:rPr>
      </w:pPr>
      <w:r>
        <w:rPr/>
        <w:drawing>
          <wp:inline distT="0" distB="0" distL="0" distR="0">
            <wp:extent cx="5940425" cy="5455285"/>
            <wp:effectExtent l="0" t="0" r="0" b="0"/>
            <wp:docPr id="1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протяжении последних лет более 50% обращений юридических лиц, поступающих в адрес Городского Головы города Калуги, составляют документы, поступающие от Губернатора Калужской области, Заместителей Губернатора Калужской области, а также органов исполнительной власти Калужской области, в 2023 году данная тенденция сохраняется.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сравнению с 2022 годом в 2023 году увеличилось число обращений, поступающих из министерств, ведомств и различных органов власти Калужской области, Администрации Губернатора Калужской области, организаций (предприятий, учреждений), общественных объединений.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исходящей корреспонденции за подписью Городского Головы города Калуги за 2023 год составило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b/>
          <w:shd w:fill="auto" w:val="clear"/>
        </w:rPr>
        <w:t xml:space="preserve">1648 </w:t>
      </w:r>
      <w:r>
        <w:rPr>
          <w:rFonts w:ascii="Times New Roman" w:hAnsi="Times New Roman"/>
          <w:shd w:fill="auto" w:val="clear"/>
        </w:rPr>
        <w:t>документов, что на 11,4 % больше, чем за аналогичный период 2022 года (1479).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За 2023 год зарегистрировано 16714 правовых актов, что на 6,3 %</w:t>
      </w:r>
      <w:r>
        <w:rPr>
          <w:rFonts w:ascii="Times New Roman" w:hAnsi="Times New Roman"/>
        </w:rPr>
        <w:t xml:space="preserve"> больше аналогичного показателя за 2022 год (15723).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8"/>
        <w:gridCol w:w="850"/>
        <w:gridCol w:w="851"/>
        <w:gridCol w:w="850"/>
        <w:gridCol w:w="851"/>
        <w:gridCol w:w="851"/>
        <w:gridCol w:w="708"/>
        <w:gridCol w:w="620"/>
        <w:gridCol w:w="621"/>
      </w:tblGrid>
      <w:tr>
        <w:trPr>
          <w:trHeight w:val="1115" w:hRule="atLeast"/>
        </w:trPr>
        <w:tc>
          <w:tcPr>
            <w:tcW w:w="336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Количество подготовленных распоряжений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Количество заключенных договоров, соглашений</w:t>
            </w:r>
          </w:p>
        </w:tc>
        <w:tc>
          <w:tcPr>
            <w:tcW w:w="12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</w:tr>
      <w:tr>
        <w:trPr/>
        <w:tc>
          <w:tcPr>
            <w:tcW w:w="33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2022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2022</w:t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2023</w:t>
            </w:r>
          </w:p>
        </w:tc>
      </w:tr>
      <w:tr>
        <w:trPr>
          <w:trHeight w:val="184" w:hRule="atLeast"/>
        </w:trPr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1420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314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3880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5835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42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56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5342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6205</w:t>
            </w:r>
          </w:p>
        </w:tc>
      </w:tr>
      <w:tr>
        <w:trPr>
          <w:trHeight w:val="183" w:hRule="atLeast"/>
        </w:trPr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2423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2359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2449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2440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2077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1920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181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142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2270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2077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410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645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1578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1572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2001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2232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образование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182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1008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1080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35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1222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1192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146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504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633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658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692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делами городского головы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306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281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210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216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57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48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573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545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городского хозяйства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108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336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371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Cs/>
                <w:color w:val="auto"/>
                <w:kern w:val="0"/>
                <w:sz w:val="22"/>
                <w:szCs w:val="22"/>
                <w:lang w:val="ru-RU" w:bidi="ar-SA"/>
              </w:rPr>
              <w:t>Управление культуры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321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363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социальной защиты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164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236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187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249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Отдел организации защиты населения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41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83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84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по работе с населением на территориях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57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80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66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финансов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73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77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116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116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29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</w:t>
            </w:r>
          </w:p>
        </w:tc>
      </w:tr>
      <w:tr>
        <w:trPr/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eastAsia="Calibri" w:cs="" w:ascii="Times New Roman" w:hAnsi="Times New Roman"/>
                <w:bCs/>
                <w:color w:val="auto"/>
                <w:kern w:val="0"/>
                <w:sz w:val="22"/>
                <w:szCs w:val="22"/>
                <w:lang w:val="ru-RU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52</w:t>
            </w:r>
          </w:p>
        </w:tc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50</w:t>
            </w:r>
          </w:p>
        </w:tc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53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51</w:t>
            </w:r>
          </w:p>
        </w:tc>
      </w:tr>
      <w:tr>
        <w:trPr>
          <w:trHeight w:val="183" w:hRule="atLeast"/>
        </w:trPr>
        <w:tc>
          <w:tcPr>
            <w:tcW w:w="3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Итого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7441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6163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7883*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10214*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399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337</w:t>
            </w:r>
          </w:p>
        </w:tc>
        <w:tc>
          <w:tcPr>
            <w:tcW w:w="6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15723</w:t>
            </w:r>
          </w:p>
        </w:tc>
        <w:tc>
          <w:tcPr>
            <w:tcW w:w="6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16714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.%9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8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74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000000"/>
      <w:kern w:val="0"/>
      <w:sz w:val="24"/>
      <w:szCs w:val="24"/>
      <w:lang w:eastAsia="zh-CN" w:val="ru-RU" w:bidi="ar-SA"/>
    </w:rPr>
  </w:style>
  <w:style w:type="paragraph" w:styleId="Heading1">
    <w:name w:val="Heading 1"/>
    <w:basedOn w:val="Title"/>
    <w:next w:val="BodyText"/>
    <w:link w:val="1"/>
    <w:qFormat/>
    <w:rsid w:val="009c7448"/>
    <w:pPr>
      <w:keepNext w:val="true"/>
      <w:numPr>
        <w:ilvl w:val="0"/>
        <w:numId w:val="1"/>
      </w:numPr>
      <w:pBdr>
        <w:bottom w:val="nil"/>
      </w:pBdr>
      <w:spacing w:lineRule="auto" w:line="276" w:before="240" w:after="120"/>
      <w:contextualSpacing w:val="false"/>
      <w:outlineLvl w:val="0"/>
    </w:pPr>
    <w:rPr>
      <w:rFonts w:ascii="Liberation Serif" w:hAnsi="Liberation Serif" w:eastAsia="NSimSun" w:cs="Mangal"/>
      <w:b/>
      <w:bCs/>
      <w:color w:val="auto"/>
      <w:spacing w:val="0"/>
      <w:kern w:val="0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7448"/>
    <w:rPr>
      <w:rFonts w:ascii="Liberation Serif" w:hAnsi="Liberation Serif" w:eastAsia="NSimSun" w:cs="Mangal"/>
      <w:b/>
      <w:bCs/>
      <w:sz w:val="48"/>
      <w:szCs w:val="48"/>
      <w:lang w:eastAsia="zh-CN"/>
    </w:rPr>
  </w:style>
  <w:style w:type="character" w:styleId="Style13" w:customStyle="1">
    <w:name w:val="Заголовок Знак"/>
    <w:basedOn w:val="DefaultParagraphFont"/>
    <w:uiPriority w:val="10"/>
    <w:qFormat/>
    <w:rsid w:val="009c7448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zh-CN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9c7448"/>
    <w:rPr>
      <w:rFonts w:ascii="Calibri" w:hAnsi="Calibri"/>
      <w:lang w:eastAsia="zh-CN"/>
    </w:rPr>
  </w:style>
  <w:style w:type="character" w:styleId="Style15" w:customStyle="1">
    <w:name w:val="Выделение жирным"/>
    <w:basedOn w:val="DefaultParagraphFont"/>
    <w:qFormat/>
    <w:rsid w:val="009c7448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61599"/>
    <w:rPr>
      <w:rFonts w:ascii="Tahoma" w:hAnsi="Tahoma" w:cs="Tahoma"/>
      <w:sz w:val="16"/>
      <w:szCs w:val="16"/>
      <w:lang w:eastAsia="zh-C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9c7448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13"/>
    <w:uiPriority w:val="10"/>
    <w:qFormat/>
    <w:rsid w:val="009c7448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NormalWeb">
    <w:name w:val="Normal (Web)"/>
    <w:basedOn w:val="Normal"/>
    <w:qFormat/>
    <w:rsid w:val="009c7448"/>
    <w:pPr>
      <w:spacing w:before="280" w:after="280"/>
    </w:pPr>
    <w:rPr>
      <w:rFonts w:ascii="Times New Roman" w:hAnsi="Times New Roman" w:eastAsia="Times New Roman"/>
      <w:color w:val="00000A"/>
    </w:rPr>
  </w:style>
  <w:style w:type="paragraph" w:styleId="ListParagraph">
    <w:name w:val="List Paragraph"/>
    <w:basedOn w:val="Normal"/>
    <w:qFormat/>
    <w:rsid w:val="009c7448"/>
    <w:pPr>
      <w:spacing w:before="0" w:after="200"/>
      <w:ind w:left="720"/>
      <w:contextualSpacing/>
    </w:pPr>
    <w:rPr>
      <w:rFonts w:eastAsia="Times New Roman"/>
    </w:rPr>
  </w:style>
  <w:style w:type="paragraph" w:styleId="11" w:customStyle="1">
    <w:name w:val="Заголовок 11"/>
    <w:basedOn w:val="Title"/>
    <w:next w:val="BodyText"/>
    <w:qFormat/>
    <w:rsid w:val="009c7448"/>
    <w:pPr>
      <w:keepNext w:val="true"/>
      <w:numPr>
        <w:ilvl w:val="0"/>
        <w:numId w:val="2"/>
      </w:numPr>
      <w:pBdr>
        <w:bottom w:val="nil"/>
      </w:pBdr>
      <w:spacing w:lineRule="auto" w:line="276" w:before="240" w:after="120"/>
      <w:contextualSpacing/>
      <w:outlineLvl w:val="0"/>
    </w:pPr>
    <w:rPr>
      <w:rFonts w:ascii="Liberation Serif" w:hAnsi="Liberation Serif" w:eastAsia="NSimSun" w:cs="Mangal"/>
      <w:b/>
      <w:bCs/>
      <w:color w:themeColor="text2" w:themeShade="bf" w:val="auto"/>
      <w:spacing w:val="0"/>
      <w:kern w:val="0"/>
      <w:sz w:val="48"/>
      <w:szCs w:val="4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615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59"/>
    <w:rsid w:val="006e4b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Times New Roman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Times New Roman"/>
              </a:rPr>
              <a:t>Информация об основных источниках поступления обращений юридических лиц в адрес Городского Головы города Калуги</a:t>
            </a:r>
          </a:p>
        </c:rich>
      </c:tx>
      <c:layout>
        <c:manualLayout>
          <c:xMode val="edge"/>
          <c:yMode val="edge"/>
          <c:x val="0.124606060606061"/>
          <c:y val="0.0131987065267604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699375"/>
          <c:y val="0.125666666666667"/>
          <c:w val="0.9204375"/>
          <c:h val="0.418222222222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2022 год</c:v>
                </c:pt>
              </c:strCache>
            </c:strRef>
          </c:tx>
          <c:spPr>
            <a:gradFill>
              <a:gsLst>
                <a:gs pos="0">
                  <a:srgbClr val="2e5f99"/>
                </a:gs>
                <a:gs pos="80000">
                  <a:srgbClr val="3c7ac7"/>
                </a:gs>
                <a:gs pos="100000">
                  <a:srgbClr val="397bca"/>
                </a:gs>
              </a:gsLst>
              <a:lin ang="16200000"/>
            </a:gradFill>
            <a:ln w="0">
              <a:noFill/>
            </a:ln>
          </c:spPr>
          <c:invertIfNegative val="0"/>
          <c:dPt>
            <c:idx val="0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1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2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3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4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5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6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7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Lbls>
            <c:numFmt formatCode="0.0" sourceLinked="0"/>
            <c:dLbl>
              <c:idx val="0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39,6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24,3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-0.00427578834847679"/>
                  <c:y val="0.00465603538586893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17,7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-0.0064136825227152"/>
                  <c:y val="0.00465603538586893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8,7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"/>
                  <c:y val="0.0069840530788034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4,7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-0.00213789417423838"/>
                  <c:y val="0.00465603538586893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4,7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0,6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0,2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1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39.2104561216324</c:v>
                </c:pt>
                <c:pt idx="1">
                  <c:v>24.2642482439762</c:v>
                </c:pt>
                <c:pt idx="2">
                  <c:v>17.6580421445719</c:v>
                </c:pt>
                <c:pt idx="3">
                  <c:v>8.70454343380457</c:v>
                </c:pt>
                <c:pt idx="4">
                  <c:v>4.69458522272606</c:v>
                </c:pt>
                <c:pt idx="5">
                  <c:v>4.69458522272606</c:v>
                </c:pt>
                <c:pt idx="6">
                  <c:v>0.595714412732284</c:v>
                </c:pt>
                <c:pt idx="7">
                  <c:v>0.177825197830533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2023 год</c:v>
                </c:pt>
              </c:strCache>
            </c:strRef>
          </c:tx>
          <c:spPr>
            <a:gradFill>
              <a:gsLst>
                <a:gs pos="0">
                  <a:srgbClr val="9c2f2c"/>
                </a:gs>
                <a:gs pos="80000">
                  <a:srgbClr val="cb3d39"/>
                </a:gs>
                <a:gs pos="100000">
                  <a:srgbClr val="ce3a36"/>
                </a:gs>
              </a:gsLst>
              <a:lin ang="16200000"/>
            </a:gradFill>
            <a:ln w="0">
              <a:noFill/>
            </a:ln>
          </c:spPr>
          <c:invertIfNegative val="0"/>
          <c:dPt>
            <c:idx val="0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1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2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3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4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5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6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7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Lbls>
            <c:numFmt formatCode="0.0" sourceLinked="0"/>
            <c:dLbl>
              <c:idx val="0"/>
              <c:layout>
                <c:manualLayout>
                  <c:x val="0.0151273947899369"/>
                  <c:y val="0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40,0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72980889414478"/>
                  <c:y val="0.00268070320799005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24,8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60557535866541"/>
                  <c:y val="0.00698405307880336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18,0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0213789417423838"/>
                  <c:y val="0.00698405307880331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7,0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-7.83885475042172E-017"/>
                  <c:y val="0.00465603538586893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4,9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0427578834847675"/>
                  <c:y val="0.00465603538586885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4,7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0,2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1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8"/>
                <c:pt idx="0">
                  <c:v>40.0069007159493</c:v>
                </c:pt>
                <c:pt idx="1">
                  <c:v>24.7908220477875</c:v>
                </c:pt>
                <c:pt idx="2">
                  <c:v>18.0022427326835</c:v>
                </c:pt>
                <c:pt idx="3">
                  <c:v>7.00422668851893</c:v>
                </c:pt>
                <c:pt idx="4">
                  <c:v>4.88225653411541</c:v>
                </c:pt>
                <c:pt idx="5">
                  <c:v>4.69248684551022</c:v>
                </c:pt>
                <c:pt idx="6">
                  <c:v>0.388165272146985</c:v>
                </c:pt>
                <c:pt idx="7">
                  <c:v>0.232899163288191</c:v>
                </c:pt>
              </c:numCache>
            </c:numRef>
          </c:val>
        </c:ser>
        <c:gapWidth val="31"/>
        <c:overlap val="0"/>
        <c:axId val="8098872"/>
        <c:axId val="37938048"/>
      </c:barChart>
      <c:catAx>
        <c:axId val="8098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 rot="-5400000"/>
          <a:lstStyle/>
          <a:p>
            <a:pPr>
              <a:defRPr b="0" sz="1100" spc="-1" strike="noStrike">
                <a:solidFill>
                  <a:srgbClr val="000000"/>
                </a:solidFill>
                <a:latin typeface="Times New Roman"/>
              </a:defRPr>
            </a:pPr>
          </a:p>
        </c:txPr>
        <c:crossAx val="37938048"/>
        <c:crosses val="autoZero"/>
        <c:auto val="1"/>
        <c:lblAlgn val="ctr"/>
        <c:lblOffset val="100"/>
        <c:noMultiLvlLbl val="0"/>
      </c:catAx>
      <c:valAx>
        <c:axId val="3793804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1200" spc="-1" strike="noStrike">
                <a:solidFill>
                  <a:srgbClr val="000000"/>
                </a:solidFill>
                <a:latin typeface="Times New Roman"/>
              </a:defRPr>
            </a:pPr>
          </a:p>
        </c:txPr>
        <c:crossAx val="8098872"/>
        <c:crosses val="autoZero"/>
        <c:crossBetween val="between"/>
      </c:valAx>
      <c:spPr>
        <a:noFill/>
        <a:ln w="0">
          <a:noFill/>
        </a:ln>
      </c:spPr>
    </c:plotArea>
    <c:legend>
      <c:legendPos val="b"/>
      <c:layout>
        <c:manualLayout>
          <c:xMode val="edge"/>
          <c:yMode val="edge"/>
          <c:x val="0.541875"/>
          <c:y val="0.924333333333333"/>
          <c:w val="0.28395524720295"/>
          <c:h val="0.050005556172908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200" spc="-1" strike="noStrike">
              <a:solidFill>
                <a:srgbClr val="000000"/>
              </a:solidFill>
              <a:latin typeface="Times New Roman"/>
            </a:defRPr>
          </a:pPr>
        </a:p>
      </c:txPr>
    </c:legend>
    <c:plotVisOnly val="1"/>
    <c:dispBlanksAs val="gap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26BD3-0961-444C-B83C-21A1B350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Application>LibreOffice/24.2.0.3$Windows_X86_64 LibreOffice_project/da48488a73ddd66ea24cf16bbc4f7b9c08e9bea1</Application>
  <AppVersion>15.0000</AppVersion>
  <Pages>3</Pages>
  <Words>992</Words>
  <Characters>5660</Characters>
  <CharactersWithSpaces>6639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2023-04-25T13:07:00Z</dcterms:created>
  <dc:creator>tufar_ss</dc:creator>
  <dc:description/>
  <dc:language>ru-RU</dc:language>
  <cp:lastModifiedBy/>
  <cp:lastPrinted>2024-03-22T11:45:00Z</cp:lastPrinted>
  <dcterms:modified xsi:type="dcterms:W3CDTF">2024-07-17T14:24:34Z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